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747C0CAB" w:rsidR="0092193A" w:rsidRPr="0097651D" w:rsidRDefault="00040288" w:rsidP="0092193A">
              <w:pPr>
                <w:pStyle w:val="Title"/>
                <w:rPr>
                  <w:lang w:val="en-US"/>
                </w:rPr>
              </w:pPr>
              <w:r w:rsidRPr="00D76406">
                <w:rPr>
                  <w:color w:val="FFFFFF" w:themeColor="background1"/>
                  <w:lang w:val="en-US"/>
                </w:rPr>
                <w:t xml:space="preserve">Market Consultation </w:t>
              </w:r>
              <w:r>
                <w:rPr>
                  <w:color w:val="FFFFFF" w:themeColor="background1"/>
                  <w:lang w:val="en-US"/>
                </w:rPr>
                <w:t>Solactive Equal Weight Indices</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48CB0ECB" w:rsidR="00466905" w:rsidRPr="00D902A1" w:rsidRDefault="00E97E0B"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2-06T00:00:00Z">
                                      <w:dateFormat w:val="dd MMMM yyyy"/>
                                      <w:lid w:val="en-GB"/>
                                      <w:storeMappedDataAs w:val="dateTime"/>
                                      <w:calendar w:val="gregorian"/>
                                    </w:date>
                                  </w:sdtPr>
                                  <w:sdtEndPr/>
                                  <w:sdtContent>
                                    <w:r w:rsidR="00040288">
                                      <w:rPr>
                                        <w:color w:val="FFFFFF" w:themeColor="background1"/>
                                        <w:sz w:val="26"/>
                                        <w:szCs w:val="26"/>
                                        <w:lang w:val="en-GB"/>
                                      </w:rPr>
                                      <w:t>06 February 2026</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48CB0ECB" w:rsidR="00466905" w:rsidRPr="00D902A1" w:rsidRDefault="00F30064"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6-02-06T00:00:00Z">
                                <w:dateFormat w:val="dd MMMM yyyy"/>
                                <w:lid w:val="en-GB"/>
                                <w:storeMappedDataAs w:val="dateTime"/>
                                <w:calendar w:val="gregorian"/>
                              </w:date>
                            </w:sdtPr>
                            <w:sdtEndPr/>
                            <w:sdtContent>
                              <w:r w:rsidR="00040288">
                                <w:rPr>
                                  <w:color w:val="FFFFFF" w:themeColor="background1"/>
                                  <w:sz w:val="26"/>
                                  <w:szCs w:val="26"/>
                                  <w:lang w:val="en-GB"/>
                                </w:rPr>
                                <w:t>06 February 2026</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E8DF58F"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Methodology o</w:t>
      </w:r>
      <w:r w:rsidR="00E05994" w:rsidRPr="00040288">
        <w:rPr>
          <w:lang w:val="en-GB"/>
        </w:rPr>
        <w:t xml:space="preserve">f the following </w:t>
      </w:r>
      <w:r w:rsidR="00A97E61" w:rsidRPr="00040288">
        <w:rPr>
          <w:lang w:val="en-US"/>
        </w:rPr>
        <w:t>Ind</w:t>
      </w:r>
      <w:r w:rsidR="00E05994" w:rsidRPr="00040288">
        <w:rPr>
          <w:lang w:val="en-US"/>
        </w:rPr>
        <w:t>ices (the ‘</w:t>
      </w:r>
      <w:r w:rsidR="00A97E61" w:rsidRPr="00040288">
        <w:rPr>
          <w:lang w:val="en-US"/>
        </w:rPr>
        <w:t>Ind</w:t>
      </w:r>
      <w:r w:rsidR="00E05994" w:rsidRPr="00040288">
        <w:rPr>
          <w:lang w:val="en-US"/>
        </w:rPr>
        <w:t>ices’):</w:t>
      </w:r>
    </w:p>
    <w:tbl>
      <w:tblPr>
        <w:tblW w:w="9080" w:type="dxa"/>
        <w:tblLook w:val="04A0" w:firstRow="1" w:lastRow="0" w:firstColumn="1" w:lastColumn="0" w:noHBand="0" w:noVBand="1"/>
      </w:tblPr>
      <w:tblGrid>
        <w:gridCol w:w="6060"/>
        <w:gridCol w:w="1475"/>
        <w:gridCol w:w="1754"/>
      </w:tblGrid>
      <w:tr w:rsidR="000C21FB" w:rsidRPr="000C21FB" w14:paraId="608EB5EA" w14:textId="77777777" w:rsidTr="000C21FB">
        <w:trPr>
          <w:trHeight w:val="300"/>
        </w:trPr>
        <w:tc>
          <w:tcPr>
            <w:tcW w:w="6060" w:type="dxa"/>
            <w:tcBorders>
              <w:top w:val="single" w:sz="4" w:space="0" w:color="auto"/>
              <w:left w:val="single" w:sz="4" w:space="0" w:color="auto"/>
              <w:bottom w:val="single" w:sz="4" w:space="0" w:color="auto"/>
              <w:right w:val="single" w:sz="4" w:space="0" w:color="auto"/>
            </w:tcBorders>
            <w:shd w:val="clear" w:color="000000" w:fill="757171"/>
            <w:noWrap/>
            <w:vAlign w:val="bottom"/>
            <w:hideMark/>
          </w:tcPr>
          <w:p w14:paraId="1FA7FAA8"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sz w:val="22"/>
                <w:szCs w:val="22"/>
                <w:lang w:eastAsia="en-US"/>
              </w:rPr>
              <w:t>NAME</w:t>
            </w:r>
          </w:p>
        </w:tc>
        <w:tc>
          <w:tcPr>
            <w:tcW w:w="1380" w:type="dxa"/>
            <w:tcBorders>
              <w:top w:val="single" w:sz="4" w:space="0" w:color="auto"/>
              <w:left w:val="nil"/>
              <w:bottom w:val="single" w:sz="4" w:space="0" w:color="auto"/>
              <w:right w:val="single" w:sz="4" w:space="0" w:color="auto"/>
            </w:tcBorders>
            <w:shd w:val="clear" w:color="000000" w:fill="757171"/>
            <w:noWrap/>
            <w:vAlign w:val="bottom"/>
            <w:hideMark/>
          </w:tcPr>
          <w:p w14:paraId="0A47B5F5"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sz w:val="22"/>
                <w:szCs w:val="22"/>
                <w:lang w:eastAsia="en-US"/>
              </w:rPr>
              <w:t>RIC</w:t>
            </w:r>
          </w:p>
        </w:tc>
        <w:tc>
          <w:tcPr>
            <w:tcW w:w="1640" w:type="dxa"/>
            <w:tcBorders>
              <w:top w:val="single" w:sz="4" w:space="0" w:color="auto"/>
              <w:left w:val="nil"/>
              <w:bottom w:val="single" w:sz="4" w:space="0" w:color="auto"/>
              <w:right w:val="single" w:sz="4" w:space="0" w:color="auto"/>
            </w:tcBorders>
            <w:shd w:val="clear" w:color="000000" w:fill="757171"/>
            <w:noWrap/>
            <w:vAlign w:val="bottom"/>
            <w:hideMark/>
          </w:tcPr>
          <w:p w14:paraId="7C1C30F2"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sz w:val="22"/>
                <w:szCs w:val="22"/>
                <w:lang w:eastAsia="en-US"/>
              </w:rPr>
              <w:t>ISIN</w:t>
            </w:r>
          </w:p>
        </w:tc>
      </w:tr>
      <w:tr w:rsidR="000C21FB" w:rsidRPr="000C21FB" w14:paraId="646DEE3F"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5DE5B18A"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Banks Index</w:t>
            </w:r>
          </w:p>
        </w:tc>
        <w:tc>
          <w:tcPr>
            <w:tcW w:w="1380" w:type="dxa"/>
            <w:tcBorders>
              <w:top w:val="nil"/>
              <w:left w:val="nil"/>
              <w:bottom w:val="single" w:sz="4" w:space="0" w:color="auto"/>
              <w:right w:val="single" w:sz="4" w:space="0" w:color="auto"/>
            </w:tcBorders>
            <w:noWrap/>
            <w:vAlign w:val="bottom"/>
            <w:hideMark/>
          </w:tcPr>
          <w:p w14:paraId="4FD8EBA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.SOLCBEW</w:t>
            </w:r>
          </w:p>
        </w:tc>
        <w:tc>
          <w:tcPr>
            <w:tcW w:w="1640" w:type="dxa"/>
            <w:tcBorders>
              <w:top w:val="nil"/>
              <w:left w:val="nil"/>
              <w:bottom w:val="single" w:sz="4" w:space="0" w:color="auto"/>
              <w:right w:val="single" w:sz="4" w:space="0" w:color="auto"/>
            </w:tcBorders>
            <w:noWrap/>
            <w:vAlign w:val="bottom"/>
            <w:hideMark/>
          </w:tcPr>
          <w:p w14:paraId="4FD61EF1"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DE000SLA3UC1</w:t>
            </w:r>
          </w:p>
        </w:tc>
      </w:tr>
      <w:tr w:rsidR="000C21FB" w:rsidRPr="000C21FB" w14:paraId="63F6935C"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6859D9E6"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Banks Index - Price Return</w:t>
            </w:r>
          </w:p>
        </w:tc>
        <w:tc>
          <w:tcPr>
            <w:tcW w:w="1380" w:type="dxa"/>
            <w:tcBorders>
              <w:top w:val="nil"/>
              <w:left w:val="nil"/>
              <w:bottom w:val="single" w:sz="4" w:space="0" w:color="auto"/>
              <w:right w:val="single" w:sz="4" w:space="0" w:color="auto"/>
            </w:tcBorders>
            <w:noWrap/>
            <w:vAlign w:val="bottom"/>
            <w:hideMark/>
          </w:tcPr>
          <w:p w14:paraId="5A0945CA"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.SOLCBEWP</w:t>
            </w:r>
          </w:p>
        </w:tc>
        <w:tc>
          <w:tcPr>
            <w:tcW w:w="1640" w:type="dxa"/>
            <w:tcBorders>
              <w:top w:val="nil"/>
              <w:left w:val="nil"/>
              <w:bottom w:val="single" w:sz="4" w:space="0" w:color="auto"/>
              <w:right w:val="single" w:sz="4" w:space="0" w:color="auto"/>
            </w:tcBorders>
            <w:noWrap/>
            <w:vAlign w:val="bottom"/>
            <w:hideMark/>
          </w:tcPr>
          <w:p w14:paraId="30C72C2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SOLCBEWP0000</w:t>
            </w:r>
          </w:p>
        </w:tc>
      </w:tr>
      <w:tr w:rsidR="000C21FB" w:rsidRPr="000C21FB" w14:paraId="475958D4"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0580288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Industrials Index</w:t>
            </w:r>
          </w:p>
        </w:tc>
        <w:tc>
          <w:tcPr>
            <w:tcW w:w="1380" w:type="dxa"/>
            <w:tcBorders>
              <w:top w:val="nil"/>
              <w:left w:val="nil"/>
              <w:bottom w:val="single" w:sz="4" w:space="0" w:color="auto"/>
              <w:right w:val="single" w:sz="4" w:space="0" w:color="auto"/>
            </w:tcBorders>
            <w:noWrap/>
            <w:vAlign w:val="bottom"/>
            <w:hideMark/>
          </w:tcPr>
          <w:p w14:paraId="209FC9C4"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.SOLCIEW</w:t>
            </w:r>
          </w:p>
        </w:tc>
        <w:tc>
          <w:tcPr>
            <w:tcW w:w="1640" w:type="dxa"/>
            <w:tcBorders>
              <w:top w:val="nil"/>
              <w:left w:val="nil"/>
              <w:bottom w:val="single" w:sz="4" w:space="0" w:color="auto"/>
              <w:right w:val="single" w:sz="4" w:space="0" w:color="auto"/>
            </w:tcBorders>
            <w:noWrap/>
            <w:vAlign w:val="bottom"/>
            <w:hideMark/>
          </w:tcPr>
          <w:p w14:paraId="2D0C2E4F"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DE000SLA30R5</w:t>
            </w:r>
          </w:p>
        </w:tc>
      </w:tr>
      <w:tr w:rsidR="000C21FB" w:rsidRPr="000C21FB" w14:paraId="21D896D6"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49B1857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Industrials Index - Price Return</w:t>
            </w:r>
          </w:p>
        </w:tc>
        <w:tc>
          <w:tcPr>
            <w:tcW w:w="1380" w:type="dxa"/>
            <w:tcBorders>
              <w:top w:val="nil"/>
              <w:left w:val="nil"/>
              <w:bottom w:val="single" w:sz="4" w:space="0" w:color="auto"/>
              <w:right w:val="single" w:sz="4" w:space="0" w:color="auto"/>
            </w:tcBorders>
            <w:noWrap/>
            <w:vAlign w:val="bottom"/>
            <w:hideMark/>
          </w:tcPr>
          <w:p w14:paraId="3A5A3F3C"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.SOLCIEWP</w:t>
            </w:r>
          </w:p>
        </w:tc>
        <w:tc>
          <w:tcPr>
            <w:tcW w:w="1640" w:type="dxa"/>
            <w:tcBorders>
              <w:top w:val="nil"/>
              <w:left w:val="nil"/>
              <w:bottom w:val="single" w:sz="4" w:space="0" w:color="auto"/>
              <w:right w:val="single" w:sz="4" w:space="0" w:color="auto"/>
            </w:tcBorders>
            <w:noWrap/>
            <w:vAlign w:val="bottom"/>
            <w:hideMark/>
          </w:tcPr>
          <w:p w14:paraId="3338B731"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SOLCIEWP0000</w:t>
            </w:r>
          </w:p>
        </w:tc>
      </w:tr>
      <w:tr w:rsidR="000C21FB" w:rsidRPr="000C21FB" w14:paraId="2D5A6C36"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0D1F66E3"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Oil &amp; Gas Index</w:t>
            </w:r>
          </w:p>
        </w:tc>
        <w:tc>
          <w:tcPr>
            <w:tcW w:w="1380" w:type="dxa"/>
            <w:tcBorders>
              <w:top w:val="nil"/>
              <w:left w:val="nil"/>
              <w:bottom w:val="single" w:sz="4" w:space="0" w:color="auto"/>
              <w:right w:val="single" w:sz="4" w:space="0" w:color="auto"/>
            </w:tcBorders>
            <w:noWrap/>
            <w:vAlign w:val="bottom"/>
            <w:hideMark/>
          </w:tcPr>
          <w:p w14:paraId="08BACF76"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.SOLCOGEW</w:t>
            </w:r>
          </w:p>
        </w:tc>
        <w:tc>
          <w:tcPr>
            <w:tcW w:w="1640" w:type="dxa"/>
            <w:tcBorders>
              <w:top w:val="nil"/>
              <w:left w:val="nil"/>
              <w:bottom w:val="single" w:sz="4" w:space="0" w:color="auto"/>
              <w:right w:val="single" w:sz="4" w:space="0" w:color="auto"/>
            </w:tcBorders>
            <w:noWrap/>
            <w:vAlign w:val="bottom"/>
            <w:hideMark/>
          </w:tcPr>
          <w:p w14:paraId="01B58FC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DE000SLA30S3</w:t>
            </w:r>
          </w:p>
        </w:tc>
      </w:tr>
      <w:tr w:rsidR="000C21FB" w:rsidRPr="000C21FB" w14:paraId="76D5885E"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00F62B11"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Oil &amp; Gas Index - Price Return</w:t>
            </w:r>
          </w:p>
        </w:tc>
        <w:tc>
          <w:tcPr>
            <w:tcW w:w="1380" w:type="dxa"/>
            <w:tcBorders>
              <w:top w:val="nil"/>
              <w:left w:val="nil"/>
              <w:bottom w:val="single" w:sz="4" w:space="0" w:color="auto"/>
              <w:right w:val="single" w:sz="4" w:space="0" w:color="auto"/>
            </w:tcBorders>
            <w:noWrap/>
            <w:vAlign w:val="bottom"/>
            <w:hideMark/>
          </w:tcPr>
          <w:p w14:paraId="7EDECE50"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.SOLCOGEWP</w:t>
            </w:r>
          </w:p>
        </w:tc>
        <w:tc>
          <w:tcPr>
            <w:tcW w:w="1640" w:type="dxa"/>
            <w:tcBorders>
              <w:top w:val="nil"/>
              <w:left w:val="nil"/>
              <w:bottom w:val="single" w:sz="4" w:space="0" w:color="auto"/>
              <w:right w:val="single" w:sz="4" w:space="0" w:color="auto"/>
            </w:tcBorders>
            <w:noWrap/>
            <w:vAlign w:val="bottom"/>
            <w:hideMark/>
          </w:tcPr>
          <w:p w14:paraId="449DDA8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SOLCOGEWP000</w:t>
            </w:r>
          </w:p>
        </w:tc>
      </w:tr>
      <w:tr w:rsidR="000C21FB" w:rsidRPr="000C21FB" w14:paraId="125A4395"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78DD6CB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Reit Index</w:t>
            </w:r>
          </w:p>
        </w:tc>
        <w:tc>
          <w:tcPr>
            <w:tcW w:w="1380" w:type="dxa"/>
            <w:tcBorders>
              <w:top w:val="nil"/>
              <w:left w:val="nil"/>
              <w:bottom w:val="single" w:sz="4" w:space="0" w:color="auto"/>
              <w:right w:val="single" w:sz="4" w:space="0" w:color="auto"/>
            </w:tcBorders>
            <w:noWrap/>
            <w:vAlign w:val="bottom"/>
            <w:hideMark/>
          </w:tcPr>
          <w:p w14:paraId="61A192C2"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.SOLCREW</w:t>
            </w:r>
          </w:p>
        </w:tc>
        <w:tc>
          <w:tcPr>
            <w:tcW w:w="1640" w:type="dxa"/>
            <w:tcBorders>
              <w:top w:val="nil"/>
              <w:left w:val="nil"/>
              <w:bottom w:val="single" w:sz="4" w:space="0" w:color="auto"/>
              <w:right w:val="single" w:sz="4" w:space="0" w:color="auto"/>
            </w:tcBorders>
            <w:noWrap/>
            <w:vAlign w:val="bottom"/>
            <w:hideMark/>
          </w:tcPr>
          <w:p w14:paraId="0E87FF4F"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DE000SLA1813</w:t>
            </w:r>
          </w:p>
        </w:tc>
      </w:tr>
      <w:tr w:rsidR="000C21FB" w:rsidRPr="000C21FB" w14:paraId="161BD6C5"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2BDF625A"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Canada Utilities Index</w:t>
            </w:r>
          </w:p>
        </w:tc>
        <w:tc>
          <w:tcPr>
            <w:tcW w:w="1380" w:type="dxa"/>
            <w:tcBorders>
              <w:top w:val="nil"/>
              <w:left w:val="nil"/>
              <w:bottom w:val="single" w:sz="4" w:space="0" w:color="auto"/>
              <w:right w:val="single" w:sz="4" w:space="0" w:color="auto"/>
            </w:tcBorders>
            <w:noWrap/>
            <w:vAlign w:val="bottom"/>
            <w:hideMark/>
          </w:tcPr>
          <w:p w14:paraId="33CCEB84"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.SOLCUEW</w:t>
            </w:r>
          </w:p>
        </w:tc>
        <w:tc>
          <w:tcPr>
            <w:tcW w:w="1640" w:type="dxa"/>
            <w:tcBorders>
              <w:top w:val="nil"/>
              <w:left w:val="nil"/>
              <w:bottom w:val="single" w:sz="4" w:space="0" w:color="auto"/>
              <w:right w:val="single" w:sz="4" w:space="0" w:color="auto"/>
            </w:tcBorders>
            <w:noWrap/>
            <w:vAlign w:val="bottom"/>
            <w:hideMark/>
          </w:tcPr>
          <w:p w14:paraId="5773F21B"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DE000SLA1821</w:t>
            </w:r>
          </w:p>
        </w:tc>
      </w:tr>
      <w:tr w:rsidR="000C21FB" w:rsidRPr="000C21FB" w14:paraId="2B048B47"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450AF8B1"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Global Base Metals 2 Index</w:t>
            </w:r>
          </w:p>
        </w:tc>
        <w:tc>
          <w:tcPr>
            <w:tcW w:w="1380" w:type="dxa"/>
            <w:tcBorders>
              <w:top w:val="nil"/>
              <w:left w:val="nil"/>
              <w:bottom w:val="single" w:sz="4" w:space="0" w:color="auto"/>
              <w:right w:val="single" w:sz="4" w:space="0" w:color="auto"/>
            </w:tcBorders>
            <w:noWrap/>
            <w:vAlign w:val="bottom"/>
            <w:hideMark/>
          </w:tcPr>
          <w:p w14:paraId="50F36FD2"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.SOLGBME2</w:t>
            </w:r>
          </w:p>
        </w:tc>
        <w:tc>
          <w:tcPr>
            <w:tcW w:w="1640" w:type="dxa"/>
            <w:tcBorders>
              <w:top w:val="nil"/>
              <w:left w:val="nil"/>
              <w:bottom w:val="single" w:sz="4" w:space="0" w:color="auto"/>
              <w:right w:val="single" w:sz="4" w:space="0" w:color="auto"/>
            </w:tcBorders>
            <w:noWrap/>
            <w:vAlign w:val="bottom"/>
            <w:hideMark/>
          </w:tcPr>
          <w:p w14:paraId="2615BD1B"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DE000SL0A2J0</w:t>
            </w:r>
          </w:p>
        </w:tc>
      </w:tr>
      <w:tr w:rsidR="000C21FB" w:rsidRPr="000C21FB" w14:paraId="21EBB29E"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685FEDCB"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Global Base Metals Index</w:t>
            </w:r>
          </w:p>
        </w:tc>
        <w:tc>
          <w:tcPr>
            <w:tcW w:w="1380" w:type="dxa"/>
            <w:tcBorders>
              <w:top w:val="nil"/>
              <w:left w:val="nil"/>
              <w:bottom w:val="single" w:sz="4" w:space="0" w:color="auto"/>
              <w:right w:val="single" w:sz="4" w:space="0" w:color="auto"/>
            </w:tcBorders>
            <w:noWrap/>
            <w:vAlign w:val="bottom"/>
            <w:hideMark/>
          </w:tcPr>
          <w:p w14:paraId="43327E21"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.SOLGBMEW</w:t>
            </w:r>
          </w:p>
        </w:tc>
        <w:tc>
          <w:tcPr>
            <w:tcW w:w="1640" w:type="dxa"/>
            <w:tcBorders>
              <w:top w:val="nil"/>
              <w:left w:val="nil"/>
              <w:bottom w:val="single" w:sz="4" w:space="0" w:color="auto"/>
              <w:right w:val="single" w:sz="4" w:space="0" w:color="auto"/>
            </w:tcBorders>
            <w:noWrap/>
            <w:vAlign w:val="bottom"/>
            <w:hideMark/>
          </w:tcPr>
          <w:p w14:paraId="031D9BB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DE000SLA33R9</w:t>
            </w:r>
          </w:p>
        </w:tc>
      </w:tr>
      <w:tr w:rsidR="000C21FB" w:rsidRPr="000C21FB" w14:paraId="7C17225A"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6A3029E5"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Global Base Metals Index - Price Return</w:t>
            </w:r>
          </w:p>
        </w:tc>
        <w:tc>
          <w:tcPr>
            <w:tcW w:w="1380" w:type="dxa"/>
            <w:tcBorders>
              <w:top w:val="nil"/>
              <w:left w:val="nil"/>
              <w:bottom w:val="single" w:sz="4" w:space="0" w:color="auto"/>
              <w:right w:val="single" w:sz="4" w:space="0" w:color="auto"/>
            </w:tcBorders>
            <w:noWrap/>
            <w:vAlign w:val="bottom"/>
            <w:hideMark/>
          </w:tcPr>
          <w:p w14:paraId="54C42682"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.SOLGBMEWP</w:t>
            </w:r>
          </w:p>
        </w:tc>
        <w:tc>
          <w:tcPr>
            <w:tcW w:w="1640" w:type="dxa"/>
            <w:tcBorders>
              <w:top w:val="nil"/>
              <w:left w:val="nil"/>
              <w:bottom w:val="single" w:sz="4" w:space="0" w:color="auto"/>
              <w:right w:val="single" w:sz="4" w:space="0" w:color="auto"/>
            </w:tcBorders>
            <w:noWrap/>
            <w:vAlign w:val="bottom"/>
            <w:hideMark/>
          </w:tcPr>
          <w:p w14:paraId="04062DC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SOLGBMEWP000</w:t>
            </w:r>
          </w:p>
        </w:tc>
      </w:tr>
      <w:tr w:rsidR="000C21FB" w:rsidRPr="000C21FB" w14:paraId="3078475D"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1E8DC897"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Global Gold Index</w:t>
            </w:r>
          </w:p>
        </w:tc>
        <w:tc>
          <w:tcPr>
            <w:tcW w:w="1380" w:type="dxa"/>
            <w:tcBorders>
              <w:top w:val="nil"/>
              <w:left w:val="nil"/>
              <w:bottom w:val="single" w:sz="4" w:space="0" w:color="auto"/>
              <w:right w:val="single" w:sz="4" w:space="0" w:color="auto"/>
            </w:tcBorders>
            <w:noWrap/>
            <w:vAlign w:val="bottom"/>
            <w:hideMark/>
          </w:tcPr>
          <w:p w14:paraId="4054FFEE"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.SOLGLGEW</w:t>
            </w:r>
          </w:p>
        </w:tc>
        <w:tc>
          <w:tcPr>
            <w:tcW w:w="1640" w:type="dxa"/>
            <w:tcBorders>
              <w:top w:val="nil"/>
              <w:left w:val="nil"/>
              <w:bottom w:val="single" w:sz="4" w:space="0" w:color="auto"/>
              <w:right w:val="single" w:sz="4" w:space="0" w:color="auto"/>
            </w:tcBorders>
            <w:noWrap/>
            <w:vAlign w:val="bottom"/>
            <w:hideMark/>
          </w:tcPr>
          <w:p w14:paraId="17EB145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DE000SLA30U9</w:t>
            </w:r>
          </w:p>
        </w:tc>
      </w:tr>
      <w:tr w:rsidR="000C21FB" w:rsidRPr="000C21FB" w14:paraId="6931C3F5"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11569AFF"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Global Gold Index - Price Return</w:t>
            </w:r>
          </w:p>
        </w:tc>
        <w:tc>
          <w:tcPr>
            <w:tcW w:w="1380" w:type="dxa"/>
            <w:tcBorders>
              <w:top w:val="nil"/>
              <w:left w:val="nil"/>
              <w:bottom w:val="single" w:sz="4" w:space="0" w:color="auto"/>
              <w:right w:val="single" w:sz="4" w:space="0" w:color="auto"/>
            </w:tcBorders>
            <w:noWrap/>
            <w:vAlign w:val="bottom"/>
            <w:hideMark/>
          </w:tcPr>
          <w:p w14:paraId="4284E4CE"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.SOLGLGEWP</w:t>
            </w:r>
          </w:p>
        </w:tc>
        <w:tc>
          <w:tcPr>
            <w:tcW w:w="1640" w:type="dxa"/>
            <w:tcBorders>
              <w:top w:val="nil"/>
              <w:left w:val="nil"/>
              <w:bottom w:val="single" w:sz="4" w:space="0" w:color="auto"/>
              <w:right w:val="single" w:sz="4" w:space="0" w:color="auto"/>
            </w:tcBorders>
            <w:noWrap/>
            <w:vAlign w:val="bottom"/>
            <w:hideMark/>
          </w:tcPr>
          <w:p w14:paraId="7F4A8734"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SOLGLGEWP000</w:t>
            </w:r>
          </w:p>
        </w:tc>
      </w:tr>
      <w:tr w:rsidR="000C21FB" w:rsidRPr="000C21FB" w14:paraId="5D687932"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353787C3"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Us Bank 2 Index</w:t>
            </w:r>
          </w:p>
        </w:tc>
        <w:tc>
          <w:tcPr>
            <w:tcW w:w="1380" w:type="dxa"/>
            <w:tcBorders>
              <w:top w:val="nil"/>
              <w:left w:val="nil"/>
              <w:bottom w:val="single" w:sz="4" w:space="0" w:color="auto"/>
              <w:right w:val="single" w:sz="4" w:space="0" w:color="auto"/>
            </w:tcBorders>
            <w:noWrap/>
            <w:vAlign w:val="bottom"/>
            <w:hideMark/>
          </w:tcPr>
          <w:p w14:paraId="2E60240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.SOLBKSE2</w:t>
            </w:r>
          </w:p>
        </w:tc>
        <w:tc>
          <w:tcPr>
            <w:tcW w:w="1640" w:type="dxa"/>
            <w:tcBorders>
              <w:top w:val="nil"/>
              <w:left w:val="nil"/>
              <w:bottom w:val="single" w:sz="4" w:space="0" w:color="auto"/>
              <w:right w:val="single" w:sz="4" w:space="0" w:color="auto"/>
            </w:tcBorders>
            <w:noWrap/>
            <w:vAlign w:val="bottom"/>
            <w:hideMark/>
          </w:tcPr>
          <w:p w14:paraId="3953C2E4"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DE000SL0A2K8</w:t>
            </w:r>
          </w:p>
        </w:tc>
      </w:tr>
      <w:tr w:rsidR="000C21FB" w:rsidRPr="000C21FB" w14:paraId="3C9D1B5E"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0BFE613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Us Bank Index</w:t>
            </w:r>
          </w:p>
        </w:tc>
        <w:tc>
          <w:tcPr>
            <w:tcW w:w="1380" w:type="dxa"/>
            <w:tcBorders>
              <w:top w:val="nil"/>
              <w:left w:val="nil"/>
              <w:bottom w:val="single" w:sz="4" w:space="0" w:color="auto"/>
              <w:right w:val="single" w:sz="4" w:space="0" w:color="auto"/>
            </w:tcBorders>
            <w:noWrap/>
            <w:vAlign w:val="bottom"/>
            <w:hideMark/>
          </w:tcPr>
          <w:p w14:paraId="38E50E1E"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.SOLBKSEW</w:t>
            </w:r>
          </w:p>
        </w:tc>
        <w:tc>
          <w:tcPr>
            <w:tcW w:w="1640" w:type="dxa"/>
            <w:tcBorders>
              <w:top w:val="nil"/>
              <w:left w:val="nil"/>
              <w:bottom w:val="single" w:sz="4" w:space="0" w:color="auto"/>
              <w:right w:val="single" w:sz="4" w:space="0" w:color="auto"/>
            </w:tcBorders>
            <w:noWrap/>
            <w:vAlign w:val="bottom"/>
            <w:hideMark/>
          </w:tcPr>
          <w:p w14:paraId="465B6E23"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DE000SLA1JP0</w:t>
            </w:r>
          </w:p>
        </w:tc>
      </w:tr>
      <w:tr w:rsidR="000C21FB" w:rsidRPr="000C21FB" w14:paraId="23982EBA"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722FB924"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 xml:space="preserve">Solactive Equal Weight Us Bank Index </w:t>
            </w:r>
            <w:proofErr w:type="spellStart"/>
            <w:r w:rsidRPr="000C21FB">
              <w:rPr>
                <w:rFonts w:ascii="Calibri" w:hAnsi="Calibri" w:cs="Calibri"/>
                <w:color w:val="000000"/>
                <w:sz w:val="22"/>
                <w:szCs w:val="22"/>
                <w:lang w:val="en-US" w:eastAsia="en-US"/>
              </w:rPr>
              <w:t>Pr</w:t>
            </w:r>
            <w:proofErr w:type="spellEnd"/>
          </w:p>
        </w:tc>
        <w:tc>
          <w:tcPr>
            <w:tcW w:w="1380" w:type="dxa"/>
            <w:tcBorders>
              <w:top w:val="nil"/>
              <w:left w:val="nil"/>
              <w:bottom w:val="single" w:sz="4" w:space="0" w:color="auto"/>
              <w:right w:val="single" w:sz="4" w:space="0" w:color="auto"/>
            </w:tcBorders>
            <w:noWrap/>
            <w:vAlign w:val="bottom"/>
            <w:hideMark/>
          </w:tcPr>
          <w:p w14:paraId="2BDE8BAC"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.SOLBANKP</w:t>
            </w:r>
          </w:p>
        </w:tc>
        <w:tc>
          <w:tcPr>
            <w:tcW w:w="1640" w:type="dxa"/>
            <w:tcBorders>
              <w:top w:val="nil"/>
              <w:left w:val="nil"/>
              <w:bottom w:val="single" w:sz="4" w:space="0" w:color="auto"/>
              <w:right w:val="single" w:sz="4" w:space="0" w:color="auto"/>
            </w:tcBorders>
            <w:noWrap/>
            <w:vAlign w:val="bottom"/>
            <w:hideMark/>
          </w:tcPr>
          <w:p w14:paraId="13A1070D"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DE000SLA3025</w:t>
            </w:r>
          </w:p>
        </w:tc>
      </w:tr>
      <w:tr w:rsidR="000C21FB" w:rsidRPr="000C21FB" w14:paraId="18843B29"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20456778"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Us Health Care 2 Index</w:t>
            </w:r>
          </w:p>
        </w:tc>
        <w:tc>
          <w:tcPr>
            <w:tcW w:w="1380" w:type="dxa"/>
            <w:tcBorders>
              <w:top w:val="nil"/>
              <w:left w:val="nil"/>
              <w:bottom w:val="single" w:sz="4" w:space="0" w:color="auto"/>
              <w:right w:val="single" w:sz="4" w:space="0" w:color="auto"/>
            </w:tcBorders>
            <w:noWrap/>
            <w:vAlign w:val="bottom"/>
            <w:hideMark/>
          </w:tcPr>
          <w:p w14:paraId="219F2E87"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.SOLUSHE2</w:t>
            </w:r>
          </w:p>
        </w:tc>
        <w:tc>
          <w:tcPr>
            <w:tcW w:w="1640" w:type="dxa"/>
            <w:tcBorders>
              <w:top w:val="nil"/>
              <w:left w:val="nil"/>
              <w:bottom w:val="single" w:sz="4" w:space="0" w:color="auto"/>
              <w:right w:val="single" w:sz="4" w:space="0" w:color="auto"/>
            </w:tcBorders>
            <w:noWrap/>
            <w:vAlign w:val="bottom"/>
            <w:hideMark/>
          </w:tcPr>
          <w:p w14:paraId="72C8B2E7"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DE000SL0A2L6</w:t>
            </w:r>
          </w:p>
        </w:tc>
      </w:tr>
      <w:tr w:rsidR="000C21FB" w:rsidRPr="000C21FB" w14:paraId="649EBE93" w14:textId="77777777" w:rsidTr="000C21FB">
        <w:trPr>
          <w:trHeight w:val="300"/>
        </w:trPr>
        <w:tc>
          <w:tcPr>
            <w:tcW w:w="6060" w:type="dxa"/>
            <w:tcBorders>
              <w:top w:val="nil"/>
              <w:left w:val="single" w:sz="4" w:space="0" w:color="auto"/>
              <w:bottom w:val="single" w:sz="4" w:space="0" w:color="auto"/>
              <w:right w:val="single" w:sz="4" w:space="0" w:color="auto"/>
            </w:tcBorders>
            <w:noWrap/>
            <w:vAlign w:val="bottom"/>
            <w:hideMark/>
          </w:tcPr>
          <w:p w14:paraId="23DE5575"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Solactive Equal Weight Us Health Care Index</w:t>
            </w:r>
          </w:p>
        </w:tc>
        <w:tc>
          <w:tcPr>
            <w:tcW w:w="1380" w:type="dxa"/>
            <w:tcBorders>
              <w:top w:val="nil"/>
              <w:left w:val="nil"/>
              <w:bottom w:val="single" w:sz="4" w:space="0" w:color="auto"/>
              <w:right w:val="single" w:sz="4" w:space="0" w:color="auto"/>
            </w:tcBorders>
            <w:noWrap/>
            <w:vAlign w:val="bottom"/>
            <w:hideMark/>
          </w:tcPr>
          <w:p w14:paraId="238140DF"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.SOLUSHEW</w:t>
            </w:r>
          </w:p>
        </w:tc>
        <w:tc>
          <w:tcPr>
            <w:tcW w:w="1640" w:type="dxa"/>
            <w:tcBorders>
              <w:top w:val="nil"/>
              <w:left w:val="nil"/>
              <w:bottom w:val="single" w:sz="4" w:space="0" w:color="auto"/>
              <w:right w:val="single" w:sz="4" w:space="0" w:color="auto"/>
            </w:tcBorders>
            <w:noWrap/>
            <w:vAlign w:val="bottom"/>
            <w:hideMark/>
          </w:tcPr>
          <w:p w14:paraId="30A27CE9" w14:textId="77777777" w:rsidR="000C21FB" w:rsidRPr="000C21FB" w:rsidRDefault="000C21FB" w:rsidP="000C21FB">
            <w:pPr>
              <w:spacing w:before="0" w:after="0"/>
              <w:jc w:val="left"/>
              <w:rPr>
                <w:rFonts w:ascii="Calibri" w:hAnsi="Calibri" w:cs="Calibri"/>
                <w:color w:val="000000"/>
                <w:sz w:val="22"/>
                <w:szCs w:val="22"/>
                <w:lang w:val="en-US" w:eastAsia="en-US"/>
              </w:rPr>
            </w:pPr>
            <w:r w:rsidRPr="000C21FB">
              <w:rPr>
                <w:rFonts w:ascii="Calibri" w:hAnsi="Calibri" w:cs="Calibri"/>
                <w:color w:val="000000"/>
                <w:sz w:val="22"/>
                <w:szCs w:val="22"/>
                <w:lang w:val="en-US" w:eastAsia="en-US"/>
              </w:rPr>
              <w:t>DE000SLA1839</w:t>
            </w:r>
          </w:p>
        </w:tc>
      </w:tr>
    </w:tbl>
    <w:p w14:paraId="590E3787" w14:textId="77777777" w:rsidR="00E05994" w:rsidRDefault="00E05994" w:rsidP="00E05994">
      <w:pPr>
        <w:spacing w:before="0" w:after="160" w:line="259" w:lineRule="auto"/>
        <w:rPr>
          <w:lang w:val="en-GB"/>
        </w:rPr>
      </w:pPr>
    </w:p>
    <w:p w14:paraId="012DE387" w14:textId="479E8820" w:rsidR="00783C68" w:rsidRPr="0026131F" w:rsidRDefault="00E05994" w:rsidP="00995D4A">
      <w:pPr>
        <w:spacing w:before="0" w:after="160" w:line="259" w:lineRule="auto"/>
        <w:jc w:val="left"/>
        <w:rPr>
          <w:sz w:val="28"/>
          <w:szCs w:val="28"/>
          <w:lang w:val="en-GB"/>
        </w:rPr>
      </w:pPr>
      <w:r>
        <w:rPr>
          <w:lang w:val="en-GB"/>
        </w:rPr>
        <w:t xml:space="preserve"> </w:t>
      </w:r>
      <w:r w:rsidR="00783C68" w:rsidRPr="0026131F">
        <w:rPr>
          <w:b/>
          <w:bCs/>
          <w:sz w:val="28"/>
          <w:szCs w:val="28"/>
          <w:u w:val="single"/>
          <w:lang w:val="en-GB"/>
        </w:rPr>
        <w:t xml:space="preserve">Rationale for </w:t>
      </w:r>
      <w:r w:rsidR="0073537F">
        <w:rPr>
          <w:b/>
          <w:bCs/>
          <w:sz w:val="28"/>
          <w:szCs w:val="28"/>
          <w:u w:val="single"/>
        </w:rPr>
        <w:t xml:space="preserve">the </w:t>
      </w:r>
      <w:r w:rsidR="004D6535" w:rsidRPr="0026131F">
        <w:rPr>
          <w:b/>
          <w:bCs/>
          <w:sz w:val="28"/>
          <w:szCs w:val="28"/>
          <w:u w:val="single"/>
          <w:lang w:val="en-GB"/>
        </w:rPr>
        <w:t>Market Consultation</w:t>
      </w:r>
    </w:p>
    <w:p w14:paraId="2BF4DE5A" w14:textId="20609774" w:rsidR="007E47D4" w:rsidRDefault="007C02F4" w:rsidP="00F568D6">
      <w:pPr>
        <w:spacing w:before="0" w:after="160" w:line="259" w:lineRule="auto"/>
        <w:jc w:val="left"/>
        <w:rPr>
          <w:u w:val="single"/>
          <w:lang w:val="en-GB"/>
        </w:rPr>
      </w:pPr>
      <w:proofErr w:type="spellStart"/>
      <w:r w:rsidRPr="007C02F4">
        <w:rPr>
          <w:lang w:val="en-GB"/>
        </w:rPr>
        <w:t>Solactive</w:t>
      </w:r>
      <w:proofErr w:type="spellEnd"/>
      <w:r w:rsidRPr="007C02F4">
        <w:rPr>
          <w:lang w:val="en-GB"/>
        </w:rPr>
        <w:t xml:space="preserve"> proposes the following amendments to the index guidelines to further enhance the </w:t>
      </w:r>
      <w:proofErr w:type="spellStart"/>
      <w:r w:rsidRPr="007C02F4">
        <w:rPr>
          <w:lang w:val="en-GB"/>
        </w:rPr>
        <w:t>investability</w:t>
      </w:r>
      <w:proofErr w:type="spellEnd"/>
      <w:r w:rsidRPr="007C02F4">
        <w:rPr>
          <w:lang w:val="en-GB"/>
        </w:rPr>
        <w:t xml:space="preserve"> and replicability of the indices. In addition, the proposed changes are intended to reinforce the thematic coherence of the index compositions while increasing operational flexibility for both the index provider and index users.</w:t>
      </w:r>
    </w:p>
    <w:p w14:paraId="2A079CAD" w14:textId="17A42E9A"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t xml:space="preserve">Proposed </w:t>
      </w:r>
      <w:r w:rsidR="00F568D6" w:rsidRPr="0026131F">
        <w:rPr>
          <w:b/>
          <w:bCs/>
          <w:sz w:val="28"/>
          <w:szCs w:val="28"/>
          <w:u w:val="single"/>
          <w:lang w:val="en-GB"/>
        </w:rPr>
        <w:t>Change</w:t>
      </w:r>
      <w:r w:rsidR="000C21FB">
        <w:rPr>
          <w:b/>
          <w:bCs/>
          <w:sz w:val="28"/>
          <w:szCs w:val="28"/>
          <w:u w:val="single"/>
          <w:lang w:val="en-US"/>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7AF1FD1" w14:textId="603F92F6" w:rsidR="000C21FB" w:rsidRDefault="004A428F" w:rsidP="0026131F">
      <w:pPr>
        <w:spacing w:before="0" w:after="160" w:line="259" w:lineRule="auto"/>
        <w:rPr>
          <w:lang w:val="en-GB"/>
        </w:rPr>
      </w:pPr>
      <w:r>
        <w:rPr>
          <w:lang w:val="en-GB"/>
        </w:rPr>
        <w:t>The following Methodology change</w:t>
      </w:r>
      <w:r w:rsidR="000C21FB">
        <w:rPr>
          <w:lang w:val="en-GB"/>
        </w:rPr>
        <w:t>s</w:t>
      </w:r>
      <w:r>
        <w:rPr>
          <w:lang w:val="en-GB"/>
        </w:rPr>
        <w:t xml:space="preserve"> </w:t>
      </w:r>
      <w:r w:rsidR="000C21FB">
        <w:rPr>
          <w:lang w:val="en-US"/>
        </w:rPr>
        <w:t>are</w:t>
      </w:r>
      <w:r>
        <w:rPr>
          <w:lang w:val="en-GB"/>
        </w:rPr>
        <w:t xml:space="preserve"> proposed in the following point</w:t>
      </w:r>
      <w:r w:rsidR="000C21FB">
        <w:rPr>
          <w:lang w:val="en-GB"/>
        </w:rPr>
        <w:t>s</w:t>
      </w:r>
      <w:r w:rsidR="00A64163" w:rsidRPr="0026131F" w:rsidDel="00C77B4F">
        <w:rPr>
          <w:lang w:val="en-GB"/>
        </w:rPr>
        <w:t xml:space="preserve"> </w:t>
      </w:r>
      <w:r w:rsidR="00C32515">
        <w:rPr>
          <w:lang w:val="en-GB"/>
        </w:rPr>
        <w:t>of the Index Guideline</w:t>
      </w:r>
      <w:r w:rsidR="000C21FB">
        <w:rPr>
          <w:lang w:val="en-GB"/>
        </w:rPr>
        <w:t>s</w:t>
      </w:r>
      <w:r w:rsidR="00C32515">
        <w:rPr>
          <w:lang w:val="en-GB"/>
        </w:rPr>
        <w:t xml:space="preserve"> </w:t>
      </w:r>
      <w:r>
        <w:rPr>
          <w:lang w:val="en-GB"/>
        </w:rPr>
        <w:t>(ordered in accordance with the numbering of the affected sections)]:</w:t>
      </w:r>
    </w:p>
    <w:p w14:paraId="14F4F341" w14:textId="30073F86" w:rsidR="000C21FB" w:rsidRDefault="000C21FB" w:rsidP="0026131F">
      <w:pPr>
        <w:spacing w:before="0" w:after="160" w:line="259" w:lineRule="auto"/>
        <w:rPr>
          <w:u w:val="single"/>
          <w:lang w:val="en-GB"/>
        </w:rPr>
      </w:pPr>
      <w:r>
        <w:rPr>
          <w:lang w:val="en-GB"/>
        </w:rPr>
        <w:t xml:space="preserve">The changes proposed below are applicable to </w:t>
      </w:r>
      <w:r w:rsidRPr="00B93F6B">
        <w:rPr>
          <w:b/>
          <w:bCs/>
          <w:u w:val="single"/>
          <w:lang w:val="en-GB"/>
        </w:rPr>
        <w:t>all indices mentioned above</w:t>
      </w:r>
    </w:p>
    <w:p w14:paraId="352B0FFF" w14:textId="12D1FBC6" w:rsidR="000C21FB" w:rsidRPr="000C21FB" w:rsidRDefault="000C21FB" w:rsidP="0026131F">
      <w:pPr>
        <w:spacing w:before="0" w:after="160" w:line="259" w:lineRule="auto"/>
        <w:rPr>
          <w:u w:val="single"/>
          <w:lang w:val="en-GB"/>
        </w:rPr>
      </w:pPr>
      <w:r w:rsidRPr="000C21FB">
        <w:rPr>
          <w:u w:val="single"/>
          <w:lang w:val="en-GB"/>
        </w:rPr>
        <w:t>Section 2.1:</w:t>
      </w:r>
      <w:r w:rsidRPr="000C21FB">
        <w:rPr>
          <w:u w:val="single"/>
        </w:rPr>
        <w:t xml:space="preserve"> </w:t>
      </w:r>
      <w:r w:rsidRPr="000C21FB">
        <w:rPr>
          <w:u w:val="single"/>
          <w:lang w:val="en-GB"/>
        </w:rPr>
        <w:t>INDEX UNIVERSE REQUIREMENTS</w:t>
      </w:r>
    </w:p>
    <w:p w14:paraId="770DCBA7" w14:textId="77777777" w:rsidR="000C21FB" w:rsidRPr="000C21FB" w:rsidRDefault="000C21FB" w:rsidP="0026131F">
      <w:pPr>
        <w:spacing w:before="0" w:after="160" w:line="259" w:lineRule="auto"/>
        <w:rPr>
          <w:b/>
          <w:bCs/>
          <w:lang w:val="en-GB"/>
        </w:rPr>
      </w:pPr>
      <w:r w:rsidRPr="000C21FB">
        <w:rPr>
          <w:b/>
          <w:bCs/>
          <w:lang w:val="en-GB"/>
        </w:rPr>
        <w:t>From:</w:t>
      </w:r>
    </w:p>
    <w:p w14:paraId="3BE8E153" w14:textId="38E65313" w:rsidR="000C21FB" w:rsidRPr="000C21FB" w:rsidRDefault="000C21FB" w:rsidP="0026131F">
      <w:pPr>
        <w:spacing w:before="0" w:after="160" w:line="259" w:lineRule="auto"/>
        <w:rPr>
          <w:lang w:val="en-GB"/>
        </w:rPr>
      </w:pPr>
      <w:r w:rsidRPr="000C21FB">
        <w:rPr>
          <w:lang w:val="en-GB"/>
        </w:rPr>
        <w:t xml:space="preserve"> N/A</w:t>
      </w:r>
    </w:p>
    <w:p w14:paraId="33FC8C32" w14:textId="6BE8521B" w:rsidR="000C21FB" w:rsidRPr="000C21FB" w:rsidRDefault="000C21FB" w:rsidP="0026131F">
      <w:pPr>
        <w:spacing w:before="0" w:after="160" w:line="259" w:lineRule="auto"/>
        <w:rPr>
          <w:b/>
          <w:bCs/>
          <w:lang w:val="en-GB"/>
        </w:rPr>
      </w:pPr>
      <w:r w:rsidRPr="000C21FB">
        <w:rPr>
          <w:b/>
          <w:bCs/>
          <w:lang w:val="en-GB"/>
        </w:rPr>
        <w:lastRenderedPageBreak/>
        <w:t>To:</w:t>
      </w:r>
    </w:p>
    <w:p w14:paraId="5F55D852" w14:textId="577675DD" w:rsidR="000C21FB" w:rsidRPr="000C21FB" w:rsidRDefault="000C21FB" w:rsidP="000C21FB">
      <w:pPr>
        <w:pStyle w:val="ListParagraph"/>
        <w:numPr>
          <w:ilvl w:val="0"/>
          <w:numId w:val="24"/>
        </w:numPr>
        <w:spacing w:before="0" w:after="160" w:line="259" w:lineRule="auto"/>
        <w:rPr>
          <w:lang w:val="en-GB"/>
        </w:rPr>
      </w:pPr>
      <w:r w:rsidRPr="000C21FB">
        <w:rPr>
          <w:lang w:val="en-GB"/>
        </w:rPr>
        <w:t>Securities trading in TSX Venture are not eligible.</w:t>
      </w:r>
    </w:p>
    <w:p w14:paraId="659E9D7D" w14:textId="77777777" w:rsidR="000C21FB" w:rsidRPr="000C21FB" w:rsidRDefault="000C21FB" w:rsidP="000C21FB">
      <w:pPr>
        <w:spacing w:before="0" w:after="160" w:line="259" w:lineRule="auto"/>
        <w:rPr>
          <w:b/>
          <w:bCs/>
          <w:lang w:val="en-GB"/>
        </w:rPr>
      </w:pPr>
      <w:r w:rsidRPr="000C21FB">
        <w:rPr>
          <w:b/>
          <w:bCs/>
          <w:lang w:val="en-GB"/>
        </w:rPr>
        <w:t>From:</w:t>
      </w:r>
    </w:p>
    <w:p w14:paraId="110CBB06" w14:textId="77777777" w:rsidR="000C21FB" w:rsidRPr="000C21FB" w:rsidRDefault="000C21FB" w:rsidP="000C21FB">
      <w:pPr>
        <w:spacing w:before="0" w:after="160" w:line="259" w:lineRule="auto"/>
        <w:rPr>
          <w:lang w:val="en-GB"/>
        </w:rPr>
      </w:pPr>
      <w:r w:rsidRPr="000C21FB">
        <w:rPr>
          <w:lang w:val="en-GB"/>
        </w:rPr>
        <w:t xml:space="preserve"> N/A</w:t>
      </w:r>
    </w:p>
    <w:p w14:paraId="306F9D43" w14:textId="77777777" w:rsidR="000C21FB" w:rsidRPr="000C21FB" w:rsidRDefault="000C21FB" w:rsidP="000C21FB">
      <w:pPr>
        <w:spacing w:before="0" w:after="160" w:line="259" w:lineRule="auto"/>
        <w:rPr>
          <w:b/>
          <w:bCs/>
          <w:lang w:val="en-GB"/>
        </w:rPr>
      </w:pPr>
      <w:r w:rsidRPr="000C21FB">
        <w:rPr>
          <w:b/>
          <w:bCs/>
          <w:lang w:val="en-GB"/>
        </w:rPr>
        <w:t>To:</w:t>
      </w:r>
    </w:p>
    <w:p w14:paraId="4FFFC78D" w14:textId="3710AAF3" w:rsidR="000C21FB" w:rsidRPr="000C21FB" w:rsidRDefault="000C21FB" w:rsidP="0026131F">
      <w:pPr>
        <w:pStyle w:val="ListParagraph"/>
        <w:numPr>
          <w:ilvl w:val="0"/>
          <w:numId w:val="24"/>
        </w:numPr>
        <w:spacing w:before="0" w:after="160" w:line="259" w:lineRule="auto"/>
        <w:rPr>
          <w:lang w:val="en-GB"/>
        </w:rPr>
      </w:pPr>
      <w:r w:rsidRPr="000C21FB">
        <w:rPr>
          <w:lang w:val="en-GB"/>
        </w:rPr>
        <w:t>Index Component must not have been removed from the index in the most recent rebalance.</w:t>
      </w:r>
    </w:p>
    <w:p w14:paraId="47C41370" w14:textId="77777777" w:rsidR="000C21FB" w:rsidRPr="000C21FB" w:rsidRDefault="000C21FB" w:rsidP="000C21FB">
      <w:pPr>
        <w:spacing w:before="0" w:after="160" w:line="259" w:lineRule="auto"/>
        <w:rPr>
          <w:b/>
          <w:bCs/>
          <w:lang w:val="en-GB"/>
        </w:rPr>
      </w:pPr>
      <w:r w:rsidRPr="000C21FB">
        <w:rPr>
          <w:b/>
          <w:bCs/>
          <w:lang w:val="en-GB"/>
        </w:rPr>
        <w:t>From:</w:t>
      </w:r>
    </w:p>
    <w:p w14:paraId="482A7E49" w14:textId="77777777" w:rsidR="000C21FB" w:rsidRPr="000C21FB" w:rsidRDefault="000C21FB" w:rsidP="000C21FB">
      <w:pPr>
        <w:spacing w:before="0" w:after="160" w:line="259" w:lineRule="auto"/>
        <w:rPr>
          <w:lang w:val="en-GB"/>
        </w:rPr>
      </w:pPr>
      <w:r w:rsidRPr="000C21FB">
        <w:rPr>
          <w:lang w:val="en-GB"/>
        </w:rPr>
        <w:t xml:space="preserve"> N/A</w:t>
      </w:r>
    </w:p>
    <w:p w14:paraId="213BA51E" w14:textId="77777777" w:rsidR="000C21FB" w:rsidRPr="000C21FB" w:rsidRDefault="000C21FB" w:rsidP="000C21FB">
      <w:pPr>
        <w:spacing w:before="0" w:after="160" w:line="259" w:lineRule="auto"/>
        <w:rPr>
          <w:b/>
          <w:bCs/>
          <w:lang w:val="en-GB"/>
        </w:rPr>
      </w:pPr>
      <w:r w:rsidRPr="000C21FB">
        <w:rPr>
          <w:b/>
          <w:bCs/>
          <w:lang w:val="en-GB"/>
        </w:rPr>
        <w:t>To:</w:t>
      </w:r>
    </w:p>
    <w:p w14:paraId="10D49E28" w14:textId="2CC66F1C" w:rsidR="000C21FB" w:rsidRDefault="000C21FB" w:rsidP="0026131F">
      <w:pPr>
        <w:spacing w:before="0" w:after="160" w:line="259" w:lineRule="auto"/>
        <w:rPr>
          <w:lang w:val="en-GB"/>
        </w:rPr>
      </w:pPr>
      <w:r w:rsidRPr="000C21FB">
        <w:rPr>
          <w:lang w:val="en-GB"/>
        </w:rPr>
        <w:t>Due to the dynamic structural changes in the industry, the INDEX ADMINISTRATOR conducts regular reviews of the index universe requirements to avoid discrepancies between the evolving industry and the INDEX UNIVERSE</w:t>
      </w:r>
    </w:p>
    <w:p w14:paraId="3279059D" w14:textId="77777777" w:rsidR="000C21FB" w:rsidRDefault="000C21FB" w:rsidP="0026131F">
      <w:pPr>
        <w:spacing w:before="0" w:after="160" w:line="259" w:lineRule="auto"/>
        <w:rPr>
          <w:lang w:val="en-GB"/>
        </w:rPr>
      </w:pPr>
    </w:p>
    <w:p w14:paraId="288A4265" w14:textId="7F69A400" w:rsidR="000C21FB" w:rsidRPr="00B93F6B" w:rsidRDefault="000C21FB" w:rsidP="0026131F">
      <w:pPr>
        <w:spacing w:before="0" w:after="160" w:line="259" w:lineRule="auto"/>
        <w:rPr>
          <w:u w:val="single"/>
          <w:lang w:val="en-GB"/>
        </w:rPr>
      </w:pPr>
      <w:r w:rsidRPr="00B93F6B">
        <w:rPr>
          <w:u w:val="single"/>
          <w:lang w:val="en-GB"/>
        </w:rPr>
        <w:t xml:space="preserve">Section 6: </w:t>
      </w:r>
      <w:r w:rsidR="00B93F6B" w:rsidRPr="00B93F6B">
        <w:rPr>
          <w:u w:val="single"/>
          <w:lang w:val="en-GB"/>
        </w:rPr>
        <w:t>DEFINITIONS</w:t>
      </w:r>
    </w:p>
    <w:p w14:paraId="2DC23BF6" w14:textId="77BF26B9" w:rsidR="000C21FB" w:rsidRPr="00B93F6B" w:rsidRDefault="000C21FB" w:rsidP="000C21FB">
      <w:pPr>
        <w:rPr>
          <w:b/>
          <w:bCs/>
        </w:rPr>
      </w:pPr>
      <w:r w:rsidRPr="00B93F6B">
        <w:rPr>
          <w:b/>
          <w:bCs/>
        </w:rPr>
        <w:t>From</w:t>
      </w:r>
      <w:r w:rsidR="00B93F6B" w:rsidRPr="00B93F6B">
        <w:rPr>
          <w:b/>
          <w:bCs/>
        </w:rPr>
        <w:t>:</w:t>
      </w:r>
    </w:p>
    <w:p w14:paraId="1D5638E7" w14:textId="77777777" w:rsidR="00B93F6B" w:rsidRPr="00B93F6B" w:rsidRDefault="000C21FB" w:rsidP="00B93F6B">
      <w:pPr>
        <w:spacing w:before="0" w:after="160" w:line="278" w:lineRule="auto"/>
        <w:contextualSpacing/>
        <w:jc w:val="left"/>
      </w:pPr>
      <w:r w:rsidRPr="00B93F6B">
        <w:t xml:space="preserve">“REBALANCE DAY” </w:t>
      </w:r>
      <w:proofErr w:type="spellStart"/>
      <w:r w:rsidRPr="00B93F6B">
        <w:t>is</w:t>
      </w:r>
      <w:proofErr w:type="spellEnd"/>
      <w:r w:rsidRPr="00B93F6B">
        <w:t xml:space="preserve"> the 5th Business Day </w:t>
      </w:r>
      <w:proofErr w:type="spellStart"/>
      <w:r w:rsidRPr="00B93F6B">
        <w:t>that</w:t>
      </w:r>
      <w:proofErr w:type="spellEnd"/>
      <w:r w:rsidRPr="00B93F6B">
        <w:t xml:space="preserve"> </w:t>
      </w:r>
      <w:proofErr w:type="spellStart"/>
      <w:r w:rsidRPr="00B93F6B">
        <w:t>follows</w:t>
      </w:r>
      <w:proofErr w:type="spellEnd"/>
      <w:r w:rsidRPr="00B93F6B">
        <w:t xml:space="preserve"> the </w:t>
      </w:r>
      <w:proofErr w:type="spellStart"/>
      <w:r w:rsidRPr="00B93F6B">
        <w:t>Selection</w:t>
      </w:r>
      <w:proofErr w:type="spellEnd"/>
      <w:r w:rsidRPr="00B93F6B">
        <w:t xml:space="preserve"> Day. </w:t>
      </w:r>
    </w:p>
    <w:p w14:paraId="0F831653" w14:textId="4458CA50" w:rsidR="000C21FB" w:rsidRPr="00B93F6B" w:rsidRDefault="000C21FB" w:rsidP="00B93F6B">
      <w:pPr>
        <w:spacing w:before="0" w:after="160" w:line="278" w:lineRule="auto"/>
        <w:contextualSpacing/>
        <w:jc w:val="left"/>
      </w:pPr>
      <w:r w:rsidRPr="00B93F6B">
        <w:t xml:space="preserve">“SELECTION DAY” </w:t>
      </w:r>
      <w:proofErr w:type="spellStart"/>
      <w:r w:rsidRPr="00B93F6B">
        <w:t>is</w:t>
      </w:r>
      <w:proofErr w:type="spellEnd"/>
      <w:r w:rsidRPr="00B93F6B">
        <w:t xml:space="preserve"> the </w:t>
      </w:r>
      <w:proofErr w:type="spellStart"/>
      <w:r w:rsidRPr="00B93F6B">
        <w:t>second</w:t>
      </w:r>
      <w:proofErr w:type="spellEnd"/>
      <w:r w:rsidRPr="00B93F6B">
        <w:t xml:space="preserve"> Friday in March and September. </w:t>
      </w:r>
    </w:p>
    <w:p w14:paraId="7F86F703" w14:textId="77777777" w:rsidR="00B93F6B" w:rsidRPr="00B93F6B" w:rsidRDefault="00B93F6B" w:rsidP="00B93F6B">
      <w:pPr>
        <w:spacing w:before="0" w:after="160" w:line="278" w:lineRule="auto"/>
        <w:contextualSpacing/>
        <w:jc w:val="left"/>
      </w:pPr>
    </w:p>
    <w:p w14:paraId="6AB378BD" w14:textId="600F1464" w:rsidR="000C21FB" w:rsidRPr="00B93F6B" w:rsidRDefault="000C21FB" w:rsidP="000C21FB">
      <w:pPr>
        <w:rPr>
          <w:b/>
          <w:bCs/>
        </w:rPr>
      </w:pPr>
      <w:r w:rsidRPr="00B93F6B">
        <w:rPr>
          <w:b/>
          <w:bCs/>
        </w:rPr>
        <w:t>To</w:t>
      </w:r>
      <w:r w:rsidR="00B93F6B" w:rsidRPr="00B93F6B">
        <w:rPr>
          <w:b/>
          <w:bCs/>
        </w:rPr>
        <w:t>:</w:t>
      </w:r>
    </w:p>
    <w:p w14:paraId="022BD7E9" w14:textId="77777777" w:rsidR="000C21FB" w:rsidRDefault="000C21FB" w:rsidP="00B93F6B">
      <w:pPr>
        <w:spacing w:before="0" w:after="160" w:line="278" w:lineRule="auto"/>
        <w:jc w:val="left"/>
      </w:pPr>
      <w:r w:rsidRPr="00B93F6B">
        <w:t xml:space="preserve">“REBALANCE DAY” </w:t>
      </w:r>
      <w:proofErr w:type="spellStart"/>
      <w:r w:rsidRPr="00B93F6B">
        <w:t>is</w:t>
      </w:r>
      <w:proofErr w:type="spellEnd"/>
      <w:r w:rsidRPr="00B93F6B">
        <w:t xml:space="preserve"> the 10th Business Day </w:t>
      </w:r>
      <w:proofErr w:type="spellStart"/>
      <w:r w:rsidRPr="00B93F6B">
        <w:t>that</w:t>
      </w:r>
      <w:proofErr w:type="spellEnd"/>
      <w:r w:rsidRPr="00B93F6B">
        <w:t xml:space="preserve"> </w:t>
      </w:r>
      <w:proofErr w:type="spellStart"/>
      <w:r w:rsidRPr="00B93F6B">
        <w:t>follows</w:t>
      </w:r>
      <w:proofErr w:type="spellEnd"/>
      <w:r w:rsidRPr="00B93F6B">
        <w:t xml:space="preserve"> the </w:t>
      </w:r>
      <w:proofErr w:type="spellStart"/>
      <w:r w:rsidRPr="00B93F6B">
        <w:t>Selection</w:t>
      </w:r>
      <w:proofErr w:type="spellEnd"/>
      <w:r w:rsidRPr="00B93F6B">
        <w:t xml:space="preserve"> Day. </w:t>
      </w:r>
      <w:r w:rsidRPr="00B93F6B">
        <w:br/>
        <w:t>“</w:t>
      </w:r>
      <w:proofErr w:type="spellStart"/>
      <w:r w:rsidRPr="00B93F6B">
        <w:t>Selection</w:t>
      </w:r>
      <w:proofErr w:type="spellEnd"/>
      <w:r w:rsidRPr="00B93F6B">
        <w:t xml:space="preserve"> Day” </w:t>
      </w:r>
      <w:proofErr w:type="spellStart"/>
      <w:r w:rsidRPr="00B93F6B">
        <w:t>is</w:t>
      </w:r>
      <w:proofErr w:type="spellEnd"/>
      <w:r w:rsidRPr="00B93F6B">
        <w:t xml:space="preserve"> the </w:t>
      </w:r>
      <w:proofErr w:type="spellStart"/>
      <w:r w:rsidRPr="00B93F6B">
        <w:t>first</w:t>
      </w:r>
      <w:proofErr w:type="spellEnd"/>
      <w:r w:rsidRPr="00B93F6B">
        <w:t xml:space="preserve"> Friday in March and September</w:t>
      </w:r>
    </w:p>
    <w:p w14:paraId="55AF5F21" w14:textId="77777777" w:rsidR="00B93F6B" w:rsidRPr="00B93F6B" w:rsidRDefault="00B93F6B" w:rsidP="00B93F6B">
      <w:pPr>
        <w:spacing w:before="0" w:after="160" w:line="278" w:lineRule="auto"/>
        <w:jc w:val="left"/>
      </w:pPr>
    </w:p>
    <w:p w14:paraId="13DB7913" w14:textId="1DB73029" w:rsidR="00B93F6B" w:rsidRDefault="00B93F6B" w:rsidP="00B93F6B">
      <w:pPr>
        <w:spacing w:before="0" w:after="160" w:line="259" w:lineRule="auto"/>
        <w:rPr>
          <w:u w:val="single"/>
          <w:lang w:val="en-GB"/>
        </w:rPr>
      </w:pPr>
      <w:r>
        <w:rPr>
          <w:lang w:val="en-GB"/>
        </w:rPr>
        <w:t xml:space="preserve">The changes proposed below are applicable to </w:t>
      </w:r>
      <w:proofErr w:type="spellStart"/>
      <w:r w:rsidRPr="00B93F6B">
        <w:rPr>
          <w:b/>
          <w:bCs/>
          <w:u w:val="single"/>
          <w:lang w:val="en-GB"/>
        </w:rPr>
        <w:t>Solactive</w:t>
      </w:r>
      <w:proofErr w:type="spellEnd"/>
      <w:r w:rsidRPr="00B93F6B">
        <w:rPr>
          <w:b/>
          <w:bCs/>
          <w:u w:val="single"/>
          <w:lang w:val="en-GB"/>
        </w:rPr>
        <w:t xml:space="preserve"> Equal Weight Canada Industrials Index family</w:t>
      </w:r>
    </w:p>
    <w:p w14:paraId="38505156" w14:textId="097F2AE9" w:rsidR="00B93F6B" w:rsidRDefault="00B93F6B" w:rsidP="00B93F6B">
      <w:pPr>
        <w:spacing w:before="0" w:after="160" w:line="259" w:lineRule="auto"/>
        <w:rPr>
          <w:u w:val="single"/>
          <w:lang w:val="en-GB"/>
        </w:rPr>
      </w:pPr>
      <w:r>
        <w:rPr>
          <w:u w:val="single"/>
          <w:lang w:val="en-GB"/>
        </w:rPr>
        <w:t xml:space="preserve">Section </w:t>
      </w:r>
      <w:r w:rsidRPr="00B93F6B">
        <w:rPr>
          <w:u w:val="single"/>
          <w:lang w:val="en-GB"/>
        </w:rPr>
        <w:t>2.1. INDEX UNIVERSE REQUIREMENTS</w:t>
      </w:r>
    </w:p>
    <w:p w14:paraId="2430D9C1" w14:textId="3D8E2BC7" w:rsidR="00B93F6B" w:rsidRPr="00324595" w:rsidRDefault="00B93F6B" w:rsidP="00B93F6B">
      <w:pPr>
        <w:rPr>
          <w:b/>
          <w:bCs/>
        </w:rPr>
      </w:pPr>
      <w:r w:rsidRPr="00324595">
        <w:rPr>
          <w:b/>
          <w:bCs/>
        </w:rPr>
        <w:t>From</w:t>
      </w:r>
      <w:r w:rsidR="00324595">
        <w:rPr>
          <w:b/>
          <w:bCs/>
        </w:rPr>
        <w:t>:</w:t>
      </w:r>
    </w:p>
    <w:p w14:paraId="011E85AD" w14:textId="77777777" w:rsidR="00B93F6B" w:rsidRDefault="00B93F6B" w:rsidP="00B93F6B">
      <w:pPr>
        <w:pStyle w:val="ListParagraph"/>
        <w:numPr>
          <w:ilvl w:val="0"/>
          <w:numId w:val="25"/>
        </w:numPr>
      </w:pPr>
      <w:r w:rsidRPr="0039194D">
        <w:t xml:space="preserve">The Index </w:t>
      </w:r>
      <w:proofErr w:type="spellStart"/>
      <w:r w:rsidRPr="0039194D">
        <w:t>Component</w:t>
      </w:r>
      <w:proofErr w:type="spellEnd"/>
      <w:r w:rsidRPr="0039194D">
        <w:t xml:space="preserve"> </w:t>
      </w:r>
      <w:proofErr w:type="spellStart"/>
      <w:r w:rsidRPr="0039194D">
        <w:t>is</w:t>
      </w:r>
      <w:proofErr w:type="spellEnd"/>
      <w:r w:rsidRPr="0039194D">
        <w:t xml:space="preserve"> </w:t>
      </w:r>
      <w:proofErr w:type="spellStart"/>
      <w:r w:rsidRPr="0039194D">
        <w:t>classified</w:t>
      </w:r>
      <w:proofErr w:type="spellEnd"/>
      <w:r w:rsidRPr="0039194D">
        <w:t xml:space="preserve"> </w:t>
      </w:r>
      <w:proofErr w:type="spellStart"/>
      <w:r w:rsidRPr="0039194D">
        <w:t>under</w:t>
      </w:r>
      <w:proofErr w:type="spellEnd"/>
      <w:r w:rsidRPr="0039194D">
        <w:t xml:space="preserve"> the </w:t>
      </w:r>
      <w:proofErr w:type="spellStart"/>
      <w:r>
        <w:t>following</w:t>
      </w:r>
      <w:proofErr w:type="spellEnd"/>
      <w:r>
        <w:t xml:space="preserve"> FactSet </w:t>
      </w:r>
      <w:proofErr w:type="spellStart"/>
      <w:r>
        <w:t>Sectors</w:t>
      </w:r>
      <w:proofErr w:type="spellEnd"/>
      <w:r>
        <w:t>/Industries:</w:t>
      </w:r>
    </w:p>
    <w:tbl>
      <w:tblPr>
        <w:tblStyle w:val="TableGrid"/>
        <w:tblW w:w="0" w:type="auto"/>
        <w:tblLook w:val="04A0" w:firstRow="1" w:lastRow="0" w:firstColumn="1" w:lastColumn="0" w:noHBand="0" w:noVBand="1"/>
      </w:tblPr>
      <w:tblGrid>
        <w:gridCol w:w="2845"/>
        <w:gridCol w:w="6783"/>
      </w:tblGrid>
      <w:tr w:rsidR="00B93F6B" w:rsidRPr="00253C25" w14:paraId="74196DBF" w14:textId="77777777" w:rsidTr="00821D9E">
        <w:tc>
          <w:tcPr>
            <w:tcW w:w="3085" w:type="dxa"/>
          </w:tcPr>
          <w:p w14:paraId="0AFAF90B" w14:textId="77777777" w:rsidR="00B93F6B" w:rsidRDefault="00B93F6B" w:rsidP="00821D9E">
            <w:pPr>
              <w:adjustRightInd w:val="0"/>
              <w:ind w:right="495"/>
              <w:outlineLvl w:val="0"/>
              <w:rPr>
                <w:lang w:val="en-US"/>
              </w:rPr>
            </w:pPr>
            <w:r>
              <w:rPr>
                <w:lang w:val="en-US"/>
              </w:rPr>
              <w:t>Sectors</w:t>
            </w:r>
          </w:p>
        </w:tc>
        <w:tc>
          <w:tcPr>
            <w:tcW w:w="7597" w:type="dxa"/>
          </w:tcPr>
          <w:p w14:paraId="5930E181" w14:textId="77777777" w:rsidR="00B93F6B" w:rsidRPr="003D6774" w:rsidRDefault="00B93F6B" w:rsidP="00821D9E">
            <w:pPr>
              <w:adjustRightInd w:val="0"/>
              <w:ind w:right="495"/>
              <w:outlineLvl w:val="0"/>
              <w:rPr>
                <w:lang w:val="en-US"/>
              </w:rPr>
            </w:pPr>
            <w:r w:rsidRPr="003D6774">
              <w:rPr>
                <w:lang w:val="en-US"/>
              </w:rPr>
              <w:t>Producer Manufacturing</w:t>
            </w:r>
          </w:p>
          <w:p w14:paraId="4347F448" w14:textId="77777777" w:rsidR="00B93F6B" w:rsidRPr="003D6774" w:rsidRDefault="00B93F6B" w:rsidP="00821D9E">
            <w:pPr>
              <w:adjustRightInd w:val="0"/>
              <w:ind w:right="495"/>
              <w:outlineLvl w:val="0"/>
              <w:rPr>
                <w:lang w:val="en-US"/>
              </w:rPr>
            </w:pPr>
            <w:r w:rsidRPr="003D6774">
              <w:rPr>
                <w:lang w:val="en-US"/>
              </w:rPr>
              <w:t>Process Industries</w:t>
            </w:r>
          </w:p>
          <w:p w14:paraId="3A734B38" w14:textId="77777777" w:rsidR="00B93F6B" w:rsidRDefault="00B93F6B" w:rsidP="00821D9E">
            <w:pPr>
              <w:adjustRightInd w:val="0"/>
              <w:ind w:right="495"/>
              <w:outlineLvl w:val="0"/>
              <w:rPr>
                <w:lang w:val="en-US"/>
              </w:rPr>
            </w:pPr>
            <w:r w:rsidRPr="003D6774">
              <w:rPr>
                <w:lang w:val="en-US"/>
              </w:rPr>
              <w:t>Commercial Services</w:t>
            </w:r>
            <w:r>
              <w:rPr>
                <w:lang w:val="en-US"/>
              </w:rPr>
              <w:br/>
              <w:t>Transportation</w:t>
            </w:r>
          </w:p>
        </w:tc>
      </w:tr>
      <w:tr w:rsidR="00B93F6B" w14:paraId="758BCD19" w14:textId="77777777" w:rsidTr="00821D9E">
        <w:tc>
          <w:tcPr>
            <w:tcW w:w="3085" w:type="dxa"/>
          </w:tcPr>
          <w:p w14:paraId="0E942064" w14:textId="77777777" w:rsidR="00B93F6B" w:rsidRDefault="00B93F6B" w:rsidP="00821D9E">
            <w:pPr>
              <w:adjustRightInd w:val="0"/>
              <w:ind w:right="495"/>
              <w:outlineLvl w:val="0"/>
              <w:rPr>
                <w:lang w:val="en-US"/>
              </w:rPr>
            </w:pPr>
            <w:r>
              <w:rPr>
                <w:lang w:val="en-US"/>
              </w:rPr>
              <w:t>Industries</w:t>
            </w:r>
          </w:p>
        </w:tc>
        <w:tc>
          <w:tcPr>
            <w:tcW w:w="7597" w:type="dxa"/>
          </w:tcPr>
          <w:p w14:paraId="63AB544C" w14:textId="77777777" w:rsidR="00B93F6B" w:rsidRDefault="00B93F6B" w:rsidP="00821D9E">
            <w:pPr>
              <w:adjustRightInd w:val="0"/>
              <w:ind w:left="708" w:right="495" w:hanging="708"/>
              <w:outlineLvl w:val="0"/>
              <w:rPr>
                <w:lang w:val="en-US"/>
              </w:rPr>
            </w:pPr>
            <w:r>
              <w:rPr>
                <w:lang w:val="en-US"/>
              </w:rPr>
              <w:t>Aerospace &amp; Defense</w:t>
            </w:r>
          </w:p>
          <w:p w14:paraId="3ECDDBC0" w14:textId="77777777" w:rsidR="00B93F6B" w:rsidRDefault="00B93F6B" w:rsidP="00821D9E">
            <w:pPr>
              <w:adjustRightInd w:val="0"/>
              <w:ind w:left="708" w:right="495" w:hanging="708"/>
              <w:outlineLvl w:val="0"/>
              <w:rPr>
                <w:lang w:val="en-US"/>
              </w:rPr>
            </w:pPr>
            <w:r>
              <w:rPr>
                <w:lang w:val="en-US"/>
              </w:rPr>
              <w:t>Telecommunications</w:t>
            </w:r>
          </w:p>
          <w:p w14:paraId="7A741D0D" w14:textId="77777777" w:rsidR="00B93F6B" w:rsidRDefault="00B93F6B" w:rsidP="00821D9E">
            <w:pPr>
              <w:adjustRightInd w:val="0"/>
              <w:ind w:left="708" w:right="495" w:hanging="708"/>
              <w:outlineLvl w:val="0"/>
              <w:rPr>
                <w:lang w:val="en-US"/>
              </w:rPr>
            </w:pPr>
            <w:r>
              <w:rPr>
                <w:lang w:val="en-US"/>
              </w:rPr>
              <w:t>Engineering &amp; Construction</w:t>
            </w:r>
          </w:p>
          <w:p w14:paraId="538B86CA" w14:textId="77777777" w:rsidR="00B93F6B" w:rsidRDefault="00B93F6B" w:rsidP="00821D9E">
            <w:pPr>
              <w:adjustRightInd w:val="0"/>
              <w:ind w:left="708" w:right="495" w:hanging="708"/>
              <w:outlineLvl w:val="0"/>
              <w:rPr>
                <w:lang w:val="en-US"/>
              </w:rPr>
            </w:pPr>
            <w:r>
              <w:rPr>
                <w:lang w:val="en-US"/>
              </w:rPr>
              <w:t>Environmental Services</w:t>
            </w:r>
          </w:p>
          <w:p w14:paraId="2ABED205" w14:textId="77777777" w:rsidR="00B93F6B" w:rsidRDefault="00B93F6B" w:rsidP="00821D9E">
            <w:pPr>
              <w:adjustRightInd w:val="0"/>
              <w:ind w:left="708" w:right="495" w:hanging="708"/>
              <w:outlineLvl w:val="0"/>
              <w:rPr>
                <w:lang w:val="en-US"/>
              </w:rPr>
            </w:pPr>
            <w:r>
              <w:rPr>
                <w:lang w:val="en-US"/>
              </w:rPr>
              <w:t>Wholesale Distributors</w:t>
            </w:r>
          </w:p>
        </w:tc>
      </w:tr>
    </w:tbl>
    <w:p w14:paraId="0F483CA2" w14:textId="77777777" w:rsidR="00B93F6B" w:rsidRPr="00377234" w:rsidRDefault="00B93F6B" w:rsidP="00B93F6B">
      <w:r w:rsidRPr="00377234">
        <w:t xml:space="preserve"> </w:t>
      </w:r>
    </w:p>
    <w:p w14:paraId="614AD2C4" w14:textId="77777777" w:rsidR="00B93F6B" w:rsidRPr="00F63EC1" w:rsidRDefault="00B93F6B" w:rsidP="00B93F6B">
      <w:pPr>
        <w:pStyle w:val="ListParagraph"/>
        <w:numPr>
          <w:ilvl w:val="0"/>
          <w:numId w:val="25"/>
        </w:numPr>
        <w:adjustRightInd w:val="0"/>
        <w:ind w:right="495"/>
        <w:outlineLvl w:val="0"/>
        <w:rPr>
          <w:szCs w:val="20"/>
        </w:rPr>
      </w:pPr>
      <w:r w:rsidRPr="00F63EC1">
        <w:rPr>
          <w:szCs w:val="20"/>
        </w:rPr>
        <w:t xml:space="preserve">From the </w:t>
      </w:r>
      <w:proofErr w:type="spellStart"/>
      <w:r w:rsidRPr="00F63EC1">
        <w:rPr>
          <w:szCs w:val="20"/>
        </w:rPr>
        <w:t>Sectors</w:t>
      </w:r>
      <w:proofErr w:type="spellEnd"/>
      <w:r w:rsidRPr="00F63EC1">
        <w:rPr>
          <w:szCs w:val="20"/>
        </w:rPr>
        <w:t xml:space="preserve"> </w:t>
      </w:r>
      <w:proofErr w:type="spellStart"/>
      <w:r w:rsidRPr="00F63EC1">
        <w:rPr>
          <w:szCs w:val="20"/>
        </w:rPr>
        <w:t>above</w:t>
      </w:r>
      <w:proofErr w:type="spellEnd"/>
      <w:r w:rsidRPr="00F63EC1">
        <w:rPr>
          <w:szCs w:val="20"/>
        </w:rPr>
        <w:t xml:space="preserve">, the </w:t>
      </w:r>
      <w:proofErr w:type="spellStart"/>
      <w:r w:rsidRPr="00F63EC1">
        <w:rPr>
          <w:szCs w:val="20"/>
        </w:rPr>
        <w:t>following</w:t>
      </w:r>
      <w:proofErr w:type="spellEnd"/>
      <w:r w:rsidRPr="00F63EC1">
        <w:rPr>
          <w:szCs w:val="20"/>
        </w:rPr>
        <w:t xml:space="preserve"> Industries </w:t>
      </w:r>
      <w:proofErr w:type="spellStart"/>
      <w:r w:rsidRPr="00F63EC1">
        <w:rPr>
          <w:szCs w:val="20"/>
        </w:rPr>
        <w:t>are</w:t>
      </w:r>
      <w:proofErr w:type="spellEnd"/>
      <w:r w:rsidRPr="00F63EC1">
        <w:rPr>
          <w:szCs w:val="20"/>
        </w:rPr>
        <w:t xml:space="preserve"> </w:t>
      </w:r>
      <w:proofErr w:type="spellStart"/>
      <w:r w:rsidRPr="00F63EC1">
        <w:rPr>
          <w:szCs w:val="20"/>
        </w:rPr>
        <w:t>removed</w:t>
      </w:r>
      <w:proofErr w:type="spellEnd"/>
      <w:r w:rsidRPr="00F63EC1">
        <w:rPr>
          <w:szCs w:val="20"/>
        </w:rPr>
        <w:t>:</w:t>
      </w:r>
    </w:p>
    <w:tbl>
      <w:tblPr>
        <w:tblStyle w:val="TableGrid"/>
        <w:tblW w:w="0" w:type="auto"/>
        <w:tblLook w:val="04A0" w:firstRow="1" w:lastRow="0" w:firstColumn="1" w:lastColumn="0" w:noHBand="0" w:noVBand="1"/>
      </w:tblPr>
      <w:tblGrid>
        <w:gridCol w:w="2842"/>
        <w:gridCol w:w="6786"/>
      </w:tblGrid>
      <w:tr w:rsidR="00B93F6B" w14:paraId="2F628F17" w14:textId="77777777" w:rsidTr="00821D9E">
        <w:tc>
          <w:tcPr>
            <w:tcW w:w="3085" w:type="dxa"/>
          </w:tcPr>
          <w:p w14:paraId="0E8480B9" w14:textId="77777777" w:rsidR="00B93F6B" w:rsidRDefault="00B93F6B" w:rsidP="00821D9E">
            <w:pPr>
              <w:adjustRightInd w:val="0"/>
              <w:ind w:right="495"/>
              <w:outlineLvl w:val="0"/>
              <w:rPr>
                <w:lang w:val="en-US"/>
              </w:rPr>
            </w:pPr>
            <w:r>
              <w:rPr>
                <w:lang w:val="en-US"/>
              </w:rPr>
              <w:t>Removed Industries</w:t>
            </w:r>
          </w:p>
        </w:tc>
        <w:tc>
          <w:tcPr>
            <w:tcW w:w="7597" w:type="dxa"/>
          </w:tcPr>
          <w:p w14:paraId="0C4AF2AE" w14:textId="77777777" w:rsidR="00B93F6B" w:rsidRPr="003D6774" w:rsidRDefault="00B93F6B" w:rsidP="00821D9E">
            <w:pPr>
              <w:adjustRightInd w:val="0"/>
              <w:ind w:right="495"/>
              <w:outlineLvl w:val="0"/>
              <w:rPr>
                <w:lang w:val="en-US"/>
              </w:rPr>
            </w:pPr>
            <w:r w:rsidRPr="003D6774">
              <w:rPr>
                <w:lang w:val="en-US"/>
              </w:rPr>
              <w:t>Containers/Packaging</w:t>
            </w:r>
          </w:p>
          <w:p w14:paraId="324CBCE7" w14:textId="77777777" w:rsidR="00B93F6B" w:rsidRPr="003D6774" w:rsidRDefault="00B93F6B" w:rsidP="00821D9E">
            <w:pPr>
              <w:adjustRightInd w:val="0"/>
              <w:ind w:right="495"/>
              <w:outlineLvl w:val="0"/>
              <w:rPr>
                <w:lang w:val="en-US"/>
              </w:rPr>
            </w:pPr>
            <w:r w:rsidRPr="003D6774">
              <w:rPr>
                <w:lang w:val="en-US"/>
              </w:rPr>
              <w:t>Auto Parts: OEM</w:t>
            </w:r>
          </w:p>
          <w:p w14:paraId="44F7AC87" w14:textId="77777777" w:rsidR="00B93F6B" w:rsidRPr="003D6774" w:rsidRDefault="00B93F6B" w:rsidP="00821D9E">
            <w:pPr>
              <w:adjustRightInd w:val="0"/>
              <w:ind w:right="495"/>
              <w:outlineLvl w:val="0"/>
              <w:rPr>
                <w:lang w:val="en-US"/>
              </w:rPr>
            </w:pPr>
            <w:r w:rsidRPr="003D6774">
              <w:rPr>
                <w:lang w:val="en-US"/>
              </w:rPr>
              <w:t>Chemicals: Agricultural</w:t>
            </w:r>
          </w:p>
          <w:p w14:paraId="6CA2A33D" w14:textId="77777777" w:rsidR="00B93F6B" w:rsidRPr="003D6774" w:rsidRDefault="00B93F6B" w:rsidP="00821D9E">
            <w:pPr>
              <w:adjustRightInd w:val="0"/>
              <w:ind w:right="495"/>
              <w:outlineLvl w:val="0"/>
              <w:rPr>
                <w:lang w:val="en-US"/>
              </w:rPr>
            </w:pPr>
            <w:r w:rsidRPr="003D6774">
              <w:rPr>
                <w:lang w:val="en-US"/>
              </w:rPr>
              <w:t>Financial Publishing/Services</w:t>
            </w:r>
          </w:p>
          <w:p w14:paraId="365D4017" w14:textId="77777777" w:rsidR="00B93F6B" w:rsidRPr="003D6774" w:rsidRDefault="00B93F6B" w:rsidP="00821D9E">
            <w:pPr>
              <w:adjustRightInd w:val="0"/>
              <w:ind w:right="495"/>
              <w:outlineLvl w:val="0"/>
              <w:rPr>
                <w:lang w:val="en-US"/>
              </w:rPr>
            </w:pPr>
            <w:r w:rsidRPr="003D6774">
              <w:rPr>
                <w:lang w:val="en-US"/>
              </w:rPr>
              <w:t>Chemicals: Specialty</w:t>
            </w:r>
          </w:p>
          <w:p w14:paraId="32707F9C" w14:textId="77777777" w:rsidR="00B93F6B" w:rsidRPr="003D6774" w:rsidRDefault="00B93F6B" w:rsidP="00821D9E">
            <w:pPr>
              <w:adjustRightInd w:val="0"/>
              <w:ind w:right="495"/>
              <w:outlineLvl w:val="0"/>
              <w:rPr>
                <w:lang w:val="en-US"/>
              </w:rPr>
            </w:pPr>
            <w:r w:rsidRPr="003D6774">
              <w:rPr>
                <w:lang w:val="en-US"/>
              </w:rPr>
              <w:t>Industrial Specialties</w:t>
            </w:r>
          </w:p>
          <w:p w14:paraId="20DC4191" w14:textId="77777777" w:rsidR="00B93F6B" w:rsidRPr="003D6774" w:rsidRDefault="00B93F6B" w:rsidP="00821D9E">
            <w:pPr>
              <w:adjustRightInd w:val="0"/>
              <w:ind w:right="495"/>
              <w:outlineLvl w:val="0"/>
              <w:rPr>
                <w:lang w:val="en-US"/>
              </w:rPr>
            </w:pPr>
            <w:r w:rsidRPr="003D6774">
              <w:rPr>
                <w:lang w:val="en-US"/>
              </w:rPr>
              <w:t>Agricultural Commodities/Milling</w:t>
            </w:r>
          </w:p>
          <w:p w14:paraId="3CCC0C80" w14:textId="77777777" w:rsidR="00B93F6B" w:rsidRPr="003D6774" w:rsidRDefault="00B93F6B" w:rsidP="00821D9E">
            <w:pPr>
              <w:adjustRightInd w:val="0"/>
              <w:ind w:right="495"/>
              <w:outlineLvl w:val="0"/>
              <w:rPr>
                <w:lang w:val="en-US"/>
              </w:rPr>
            </w:pPr>
            <w:r w:rsidRPr="003D6774">
              <w:rPr>
                <w:lang w:val="en-US"/>
              </w:rPr>
              <w:t>Chemicals: Major Diversified</w:t>
            </w:r>
          </w:p>
          <w:p w14:paraId="7B086682" w14:textId="77777777" w:rsidR="00B93F6B" w:rsidRPr="003D6774" w:rsidRDefault="00B93F6B" w:rsidP="00821D9E">
            <w:pPr>
              <w:adjustRightInd w:val="0"/>
              <w:ind w:right="495"/>
              <w:outlineLvl w:val="0"/>
              <w:rPr>
                <w:lang w:val="en-US"/>
              </w:rPr>
            </w:pPr>
            <w:r w:rsidRPr="003D6774">
              <w:rPr>
                <w:lang w:val="en-US"/>
              </w:rPr>
              <w:t>Miscellaneous Manufacturing</w:t>
            </w:r>
          </w:p>
          <w:p w14:paraId="0C518B88" w14:textId="77777777" w:rsidR="00B93F6B" w:rsidRDefault="00B93F6B" w:rsidP="00821D9E">
            <w:pPr>
              <w:adjustRightInd w:val="0"/>
              <w:ind w:right="495"/>
              <w:outlineLvl w:val="0"/>
              <w:rPr>
                <w:lang w:val="en-US"/>
              </w:rPr>
            </w:pPr>
            <w:r w:rsidRPr="003D6774">
              <w:rPr>
                <w:lang w:val="en-US"/>
              </w:rPr>
              <w:t>Telecommunications Equipment</w:t>
            </w:r>
          </w:p>
        </w:tc>
      </w:tr>
    </w:tbl>
    <w:p w14:paraId="73181F0C" w14:textId="77777777" w:rsidR="00B93F6B" w:rsidRPr="00A45C83" w:rsidRDefault="00B93F6B" w:rsidP="00B93F6B">
      <w:pPr>
        <w:rPr>
          <w:highlight w:val="yellow"/>
          <w:u w:val="single"/>
          <w:lang w:eastAsia="zh-CN"/>
        </w:rPr>
      </w:pPr>
    </w:p>
    <w:p w14:paraId="7F6C0A50" w14:textId="123236E8" w:rsidR="00B93F6B" w:rsidRPr="00324595" w:rsidRDefault="00B93F6B" w:rsidP="00B93F6B">
      <w:pPr>
        <w:rPr>
          <w:b/>
          <w:bCs/>
        </w:rPr>
      </w:pPr>
      <w:r w:rsidRPr="00324595">
        <w:rPr>
          <w:b/>
          <w:bCs/>
        </w:rPr>
        <w:t>To</w:t>
      </w:r>
      <w:r w:rsidR="00324595">
        <w:rPr>
          <w:b/>
          <w:bCs/>
        </w:rPr>
        <w:t>:</w:t>
      </w:r>
    </w:p>
    <w:p w14:paraId="6ED4A21C" w14:textId="77777777" w:rsidR="00B93F6B" w:rsidRDefault="00B93F6B" w:rsidP="00B93F6B">
      <w:pPr>
        <w:pStyle w:val="ListParagraph"/>
        <w:numPr>
          <w:ilvl w:val="0"/>
          <w:numId w:val="25"/>
        </w:numPr>
      </w:pPr>
      <w:r w:rsidRPr="0039194D">
        <w:t xml:space="preserve">The Index </w:t>
      </w:r>
      <w:proofErr w:type="spellStart"/>
      <w:r w:rsidRPr="0039194D">
        <w:t>Component</w:t>
      </w:r>
      <w:proofErr w:type="spellEnd"/>
      <w:r w:rsidRPr="0039194D">
        <w:t xml:space="preserve"> </w:t>
      </w:r>
      <w:proofErr w:type="spellStart"/>
      <w:r w:rsidRPr="0039194D">
        <w:t>is</w:t>
      </w:r>
      <w:proofErr w:type="spellEnd"/>
      <w:r w:rsidRPr="0039194D">
        <w:t xml:space="preserve"> </w:t>
      </w:r>
      <w:proofErr w:type="spellStart"/>
      <w:r w:rsidRPr="0039194D">
        <w:t>classified</w:t>
      </w:r>
      <w:proofErr w:type="spellEnd"/>
      <w:r w:rsidRPr="0039194D">
        <w:t xml:space="preserve"> </w:t>
      </w:r>
      <w:proofErr w:type="spellStart"/>
      <w:r w:rsidRPr="0039194D">
        <w:t>under</w:t>
      </w:r>
      <w:proofErr w:type="spellEnd"/>
      <w:r w:rsidRPr="0039194D">
        <w:t xml:space="preserve"> the </w:t>
      </w:r>
      <w:proofErr w:type="spellStart"/>
      <w:r>
        <w:t>following</w:t>
      </w:r>
      <w:proofErr w:type="spellEnd"/>
      <w:r>
        <w:t xml:space="preserve"> FactSet </w:t>
      </w:r>
      <w:r>
        <w:rPr>
          <w:rFonts w:hint="eastAsia"/>
          <w:lang w:eastAsia="zh-CN"/>
        </w:rPr>
        <w:t>RBICS Economy/</w:t>
      </w:r>
      <w:proofErr w:type="spellStart"/>
      <w:r>
        <w:rPr>
          <w:rFonts w:hint="eastAsia"/>
          <w:lang w:eastAsia="zh-CN"/>
        </w:rPr>
        <w:t>Sectors</w:t>
      </w:r>
      <w:proofErr w:type="spellEnd"/>
      <w:r>
        <w:t>:</w:t>
      </w:r>
    </w:p>
    <w:tbl>
      <w:tblPr>
        <w:tblStyle w:val="TableGrid"/>
        <w:tblW w:w="0" w:type="auto"/>
        <w:tblLook w:val="04A0" w:firstRow="1" w:lastRow="0" w:firstColumn="1" w:lastColumn="0" w:noHBand="0" w:noVBand="1"/>
      </w:tblPr>
      <w:tblGrid>
        <w:gridCol w:w="2785"/>
        <w:gridCol w:w="6843"/>
      </w:tblGrid>
      <w:tr w:rsidR="00B93F6B" w14:paraId="7D6AA977" w14:textId="77777777" w:rsidTr="00821D9E">
        <w:tc>
          <w:tcPr>
            <w:tcW w:w="2785" w:type="dxa"/>
          </w:tcPr>
          <w:p w14:paraId="6E5C0088" w14:textId="77777777" w:rsidR="00B93F6B" w:rsidRDefault="00B93F6B" w:rsidP="00821D9E">
            <w:pPr>
              <w:rPr>
                <w:rFonts w:eastAsiaTheme="minorEastAsia"/>
                <w:lang w:val="en-US" w:eastAsia="zh-CN"/>
              </w:rPr>
            </w:pPr>
            <w:r>
              <w:rPr>
                <w:rFonts w:eastAsiaTheme="minorEastAsia" w:hint="eastAsia"/>
                <w:lang w:val="en-US" w:eastAsia="zh-CN"/>
              </w:rPr>
              <w:t>Economy</w:t>
            </w:r>
          </w:p>
        </w:tc>
        <w:tc>
          <w:tcPr>
            <w:tcW w:w="6843" w:type="dxa"/>
          </w:tcPr>
          <w:p w14:paraId="5A8D650E" w14:textId="77777777" w:rsidR="00B93F6B" w:rsidRDefault="00B93F6B" w:rsidP="00821D9E">
            <w:pPr>
              <w:rPr>
                <w:rFonts w:eastAsiaTheme="minorEastAsia"/>
                <w:lang w:val="en-US" w:eastAsia="zh-CN"/>
              </w:rPr>
            </w:pPr>
            <w:r>
              <w:rPr>
                <w:rFonts w:eastAsiaTheme="minorEastAsia" w:hint="eastAsia"/>
                <w:lang w:val="en-US" w:eastAsia="zh-CN"/>
              </w:rPr>
              <w:t>Industrials</w:t>
            </w:r>
          </w:p>
        </w:tc>
      </w:tr>
      <w:tr w:rsidR="00B93F6B" w14:paraId="4F83FCB8" w14:textId="77777777" w:rsidTr="00821D9E">
        <w:tc>
          <w:tcPr>
            <w:tcW w:w="2785" w:type="dxa"/>
          </w:tcPr>
          <w:p w14:paraId="7FF44332" w14:textId="77777777" w:rsidR="00B93F6B" w:rsidRDefault="00B93F6B" w:rsidP="00821D9E">
            <w:pPr>
              <w:rPr>
                <w:rFonts w:eastAsiaTheme="minorEastAsia"/>
                <w:lang w:val="en-US" w:eastAsia="zh-CN"/>
              </w:rPr>
            </w:pPr>
            <w:r>
              <w:rPr>
                <w:rFonts w:eastAsiaTheme="minorEastAsia" w:hint="eastAsia"/>
                <w:lang w:val="en-US" w:eastAsia="zh-CN"/>
              </w:rPr>
              <w:t>Sector</w:t>
            </w:r>
          </w:p>
        </w:tc>
        <w:tc>
          <w:tcPr>
            <w:tcW w:w="6843" w:type="dxa"/>
          </w:tcPr>
          <w:p w14:paraId="58C2D6DD" w14:textId="77777777" w:rsidR="00B93F6B" w:rsidRPr="0015151E" w:rsidRDefault="00B93F6B" w:rsidP="00821D9E">
            <w:pPr>
              <w:rPr>
                <w:rFonts w:eastAsiaTheme="minorEastAsia"/>
                <w:lang w:val="en-US" w:eastAsia="zh-CN"/>
              </w:rPr>
            </w:pPr>
            <w:r w:rsidRPr="0015151E">
              <w:rPr>
                <w:rFonts w:eastAsiaTheme="minorEastAsia"/>
                <w:lang w:val="en-US" w:eastAsia="zh-CN"/>
              </w:rPr>
              <w:t>Investment Services</w:t>
            </w:r>
          </w:p>
          <w:p w14:paraId="45B9C64F" w14:textId="77777777" w:rsidR="00B93F6B" w:rsidRPr="0015151E" w:rsidRDefault="00B93F6B" w:rsidP="00821D9E">
            <w:pPr>
              <w:rPr>
                <w:rFonts w:eastAsiaTheme="minorEastAsia"/>
                <w:lang w:val="en-US" w:eastAsia="zh-CN"/>
              </w:rPr>
            </w:pPr>
            <w:r w:rsidRPr="0015151E">
              <w:rPr>
                <w:rFonts w:eastAsiaTheme="minorEastAsia"/>
                <w:lang w:val="en-US" w:eastAsia="zh-CN"/>
              </w:rPr>
              <w:t>Mining and Mineral Products</w:t>
            </w:r>
          </w:p>
          <w:p w14:paraId="02F99F5E" w14:textId="77777777" w:rsidR="00B93F6B" w:rsidRPr="0015151E" w:rsidRDefault="00B93F6B" w:rsidP="00821D9E">
            <w:pPr>
              <w:rPr>
                <w:rFonts w:eastAsiaTheme="minorEastAsia"/>
                <w:lang w:val="en-US" w:eastAsia="zh-CN"/>
              </w:rPr>
            </w:pPr>
            <w:r w:rsidRPr="0015151E">
              <w:rPr>
                <w:rFonts w:eastAsiaTheme="minorEastAsia"/>
                <w:lang w:val="en-US" w:eastAsia="zh-CN"/>
              </w:rPr>
              <w:t>Upstream Energy</w:t>
            </w:r>
          </w:p>
          <w:p w14:paraId="3D638462" w14:textId="77777777" w:rsidR="00B93F6B" w:rsidRPr="0015151E" w:rsidRDefault="00B93F6B" w:rsidP="00821D9E">
            <w:pPr>
              <w:rPr>
                <w:rFonts w:eastAsiaTheme="minorEastAsia"/>
                <w:lang w:val="en-US" w:eastAsia="zh-CN"/>
              </w:rPr>
            </w:pPr>
            <w:r w:rsidRPr="0015151E">
              <w:rPr>
                <w:rFonts w:eastAsiaTheme="minorEastAsia"/>
                <w:lang w:val="en-US" w:eastAsia="zh-CN"/>
              </w:rPr>
              <w:t>Business Services</w:t>
            </w:r>
          </w:p>
          <w:p w14:paraId="2DDA7607" w14:textId="77777777" w:rsidR="00B93F6B" w:rsidRPr="0015151E" w:rsidRDefault="00B93F6B" w:rsidP="00821D9E">
            <w:pPr>
              <w:rPr>
                <w:rFonts w:eastAsiaTheme="minorEastAsia"/>
                <w:lang w:val="en-US" w:eastAsia="zh-CN"/>
              </w:rPr>
            </w:pPr>
            <w:r w:rsidRPr="0015151E">
              <w:rPr>
                <w:rFonts w:eastAsiaTheme="minorEastAsia"/>
                <w:lang w:val="en-US" w:eastAsia="zh-CN"/>
              </w:rPr>
              <w:t>Downstream and Midstream Energy</w:t>
            </w:r>
          </w:p>
          <w:p w14:paraId="30EEAD88" w14:textId="77777777" w:rsidR="00B93F6B" w:rsidRDefault="00B93F6B" w:rsidP="00821D9E">
            <w:pPr>
              <w:rPr>
                <w:rFonts w:eastAsiaTheme="minorEastAsia"/>
                <w:lang w:val="en-US" w:eastAsia="zh-CN"/>
              </w:rPr>
            </w:pPr>
            <w:r w:rsidRPr="0015151E">
              <w:rPr>
                <w:rFonts w:eastAsiaTheme="minorEastAsia"/>
                <w:lang w:val="en-US" w:eastAsia="zh-CN"/>
              </w:rPr>
              <w:t>Consumer Goods</w:t>
            </w:r>
          </w:p>
        </w:tc>
      </w:tr>
    </w:tbl>
    <w:p w14:paraId="1582EF2B" w14:textId="77777777" w:rsidR="00B93F6B" w:rsidRPr="00A45C83" w:rsidRDefault="00B93F6B" w:rsidP="00B93F6B">
      <w:pPr>
        <w:rPr>
          <w:lang w:eastAsia="zh-CN"/>
        </w:rPr>
      </w:pPr>
    </w:p>
    <w:p w14:paraId="5B1E13AB" w14:textId="77777777" w:rsidR="00B93F6B" w:rsidRPr="00F63EC1" w:rsidRDefault="00B93F6B" w:rsidP="00B93F6B">
      <w:pPr>
        <w:pStyle w:val="ListParagraph"/>
        <w:numPr>
          <w:ilvl w:val="0"/>
          <w:numId w:val="25"/>
        </w:numPr>
        <w:adjustRightInd w:val="0"/>
        <w:ind w:right="495"/>
        <w:outlineLvl w:val="0"/>
        <w:rPr>
          <w:szCs w:val="20"/>
        </w:rPr>
      </w:pPr>
      <w:r>
        <w:rPr>
          <w:rFonts w:hint="eastAsia"/>
          <w:szCs w:val="20"/>
          <w:lang w:eastAsia="zh-CN"/>
        </w:rPr>
        <w:t xml:space="preserve">From NAICS, the </w:t>
      </w:r>
      <w:proofErr w:type="spellStart"/>
      <w:r>
        <w:rPr>
          <w:rFonts w:hint="eastAsia"/>
          <w:szCs w:val="20"/>
          <w:lang w:eastAsia="zh-CN"/>
        </w:rPr>
        <w:t>following</w:t>
      </w:r>
      <w:proofErr w:type="spellEnd"/>
      <w:r>
        <w:rPr>
          <w:rFonts w:hint="eastAsia"/>
          <w:szCs w:val="20"/>
          <w:lang w:eastAsia="zh-CN"/>
        </w:rPr>
        <w:t xml:space="preserve"> </w:t>
      </w:r>
      <w:proofErr w:type="spellStart"/>
      <w:r>
        <w:rPr>
          <w:rFonts w:hint="eastAsia"/>
          <w:szCs w:val="20"/>
          <w:lang w:eastAsia="zh-CN"/>
        </w:rPr>
        <w:t>subsectors</w:t>
      </w:r>
      <w:proofErr w:type="spellEnd"/>
      <w:r>
        <w:rPr>
          <w:rFonts w:hint="eastAsia"/>
          <w:szCs w:val="20"/>
          <w:lang w:eastAsia="zh-CN"/>
        </w:rPr>
        <w:t xml:space="preserve"> </w:t>
      </w:r>
      <w:proofErr w:type="spellStart"/>
      <w:r>
        <w:rPr>
          <w:rFonts w:hint="eastAsia"/>
          <w:szCs w:val="20"/>
          <w:lang w:eastAsia="zh-CN"/>
        </w:rPr>
        <w:t>are</w:t>
      </w:r>
      <w:proofErr w:type="spellEnd"/>
      <w:r>
        <w:rPr>
          <w:rFonts w:hint="eastAsia"/>
          <w:szCs w:val="20"/>
          <w:lang w:eastAsia="zh-CN"/>
        </w:rPr>
        <w:t xml:space="preserve"> </w:t>
      </w:r>
      <w:proofErr w:type="spellStart"/>
      <w:r>
        <w:rPr>
          <w:rFonts w:hint="eastAsia"/>
          <w:szCs w:val="20"/>
          <w:lang w:eastAsia="zh-CN"/>
        </w:rPr>
        <w:t>excluded</w:t>
      </w:r>
      <w:proofErr w:type="spellEnd"/>
      <w:r w:rsidRPr="00F63EC1">
        <w:rPr>
          <w:szCs w:val="20"/>
        </w:rPr>
        <w:t>:</w:t>
      </w:r>
    </w:p>
    <w:tbl>
      <w:tblPr>
        <w:tblStyle w:val="TableGrid"/>
        <w:tblW w:w="0" w:type="auto"/>
        <w:tblLook w:val="04A0" w:firstRow="1" w:lastRow="0" w:firstColumn="1" w:lastColumn="0" w:noHBand="0" w:noVBand="1"/>
      </w:tblPr>
      <w:tblGrid>
        <w:gridCol w:w="2785"/>
        <w:gridCol w:w="6843"/>
      </w:tblGrid>
      <w:tr w:rsidR="00B93F6B" w14:paraId="62B88A6E" w14:textId="77777777" w:rsidTr="00821D9E">
        <w:tc>
          <w:tcPr>
            <w:tcW w:w="2785" w:type="dxa"/>
          </w:tcPr>
          <w:p w14:paraId="2BE5792A" w14:textId="77777777" w:rsidR="00B93F6B" w:rsidRPr="00A45C83" w:rsidRDefault="00B93F6B" w:rsidP="00821D9E">
            <w:pPr>
              <w:rPr>
                <w:rFonts w:eastAsiaTheme="minorEastAsia"/>
                <w:lang w:val="en-US" w:eastAsia="zh-CN"/>
              </w:rPr>
            </w:pPr>
            <w:r w:rsidRPr="00A45C83">
              <w:rPr>
                <w:rFonts w:eastAsiaTheme="minorEastAsia"/>
                <w:lang w:val="en-US" w:eastAsia="zh-CN"/>
              </w:rPr>
              <w:t>Remove</w:t>
            </w:r>
            <w:r>
              <w:rPr>
                <w:rFonts w:eastAsiaTheme="minorEastAsia" w:hint="eastAsia"/>
                <w:lang w:val="en-US" w:eastAsia="zh-CN"/>
              </w:rPr>
              <w:t>d Subsectors</w:t>
            </w:r>
          </w:p>
        </w:tc>
        <w:tc>
          <w:tcPr>
            <w:tcW w:w="6843" w:type="dxa"/>
          </w:tcPr>
          <w:p w14:paraId="1D660545" w14:textId="77777777" w:rsidR="00B93F6B" w:rsidRPr="0015151E" w:rsidRDefault="00B93F6B" w:rsidP="00821D9E">
            <w:pPr>
              <w:rPr>
                <w:lang w:val="en-US" w:eastAsia="en-US"/>
              </w:rPr>
            </w:pPr>
            <w:r w:rsidRPr="0015151E">
              <w:rPr>
                <w:lang w:val="en-US" w:eastAsia="en-US"/>
              </w:rPr>
              <w:t>Apparel Manufacturing</w:t>
            </w:r>
          </w:p>
          <w:p w14:paraId="6DE4E6B4" w14:textId="77777777" w:rsidR="00B93F6B" w:rsidRPr="0015151E" w:rsidRDefault="00B93F6B" w:rsidP="00821D9E">
            <w:pPr>
              <w:rPr>
                <w:lang w:val="en-US" w:eastAsia="en-US"/>
              </w:rPr>
            </w:pPr>
            <w:r w:rsidRPr="0015151E">
              <w:rPr>
                <w:lang w:val="en-US" w:eastAsia="en-US"/>
              </w:rPr>
              <w:t>Chemical Manufacturing</w:t>
            </w:r>
          </w:p>
          <w:p w14:paraId="017381E7" w14:textId="77777777" w:rsidR="00B93F6B" w:rsidRPr="0015151E" w:rsidRDefault="00B93F6B" w:rsidP="00821D9E">
            <w:pPr>
              <w:rPr>
                <w:lang w:val="en-US" w:eastAsia="en-US"/>
              </w:rPr>
            </w:pPr>
            <w:r w:rsidRPr="0015151E">
              <w:rPr>
                <w:lang w:val="en-US" w:eastAsia="en-US"/>
              </w:rPr>
              <w:t>Computer and Electronic Product Manufacturing</w:t>
            </w:r>
          </w:p>
          <w:p w14:paraId="474B2DCB" w14:textId="77777777" w:rsidR="00B93F6B" w:rsidRPr="0015151E" w:rsidRDefault="00B93F6B" w:rsidP="00821D9E">
            <w:pPr>
              <w:rPr>
                <w:lang w:val="en-US" w:eastAsia="en-US"/>
              </w:rPr>
            </w:pPr>
            <w:r w:rsidRPr="0015151E">
              <w:rPr>
                <w:lang w:val="en-US" w:eastAsia="en-US"/>
              </w:rPr>
              <w:t>Lessors of Nonfinancial Intangible Assets (except Copyrighted Works)</w:t>
            </w:r>
          </w:p>
          <w:p w14:paraId="2A28AB67" w14:textId="77777777" w:rsidR="00B93F6B" w:rsidRPr="0015151E" w:rsidRDefault="00B93F6B" w:rsidP="00821D9E">
            <w:pPr>
              <w:rPr>
                <w:lang w:val="en-US" w:eastAsia="en-US"/>
              </w:rPr>
            </w:pPr>
            <w:r w:rsidRPr="0015151E">
              <w:rPr>
                <w:lang w:val="en-US" w:eastAsia="en-US"/>
              </w:rPr>
              <w:t>Mining (except Oil and Gas)</w:t>
            </w:r>
          </w:p>
          <w:p w14:paraId="75444783" w14:textId="77777777" w:rsidR="00B93F6B" w:rsidRPr="0015151E" w:rsidRDefault="00B93F6B" w:rsidP="00821D9E">
            <w:pPr>
              <w:rPr>
                <w:lang w:val="en-US" w:eastAsia="en-US"/>
              </w:rPr>
            </w:pPr>
            <w:r w:rsidRPr="0015151E">
              <w:rPr>
                <w:lang w:val="en-US" w:eastAsia="en-US"/>
              </w:rPr>
              <w:t>Oil and Gas Extraction</w:t>
            </w:r>
          </w:p>
          <w:p w14:paraId="5778562A" w14:textId="77777777" w:rsidR="00B93F6B" w:rsidRPr="0015151E" w:rsidRDefault="00B93F6B" w:rsidP="00821D9E">
            <w:pPr>
              <w:rPr>
                <w:lang w:val="en-US" w:eastAsia="en-US"/>
              </w:rPr>
            </w:pPr>
            <w:r w:rsidRPr="0015151E">
              <w:rPr>
                <w:lang w:val="en-US" w:eastAsia="en-US"/>
              </w:rPr>
              <w:t>Pipeline Transportation</w:t>
            </w:r>
          </w:p>
          <w:p w14:paraId="3E8E608D" w14:textId="77777777" w:rsidR="00B93F6B" w:rsidRPr="0015151E" w:rsidRDefault="00B93F6B" w:rsidP="00821D9E">
            <w:pPr>
              <w:rPr>
                <w:lang w:val="en-US" w:eastAsia="en-US"/>
              </w:rPr>
            </w:pPr>
            <w:r w:rsidRPr="0015151E">
              <w:rPr>
                <w:lang w:val="en-US" w:eastAsia="en-US"/>
              </w:rPr>
              <w:t>Printing and Related Support Activities</w:t>
            </w:r>
          </w:p>
          <w:p w14:paraId="771ACC26" w14:textId="77777777" w:rsidR="00B93F6B" w:rsidRPr="0015151E" w:rsidRDefault="00B93F6B" w:rsidP="00821D9E">
            <w:pPr>
              <w:rPr>
                <w:lang w:val="en-US" w:eastAsia="en-US"/>
              </w:rPr>
            </w:pPr>
            <w:r w:rsidRPr="0015151E">
              <w:rPr>
                <w:lang w:val="en-US" w:eastAsia="en-US"/>
              </w:rPr>
              <w:t>Securities, Commodity Contracts, and Other Financial Investments and Related Activities</w:t>
            </w:r>
          </w:p>
          <w:p w14:paraId="5A16C038" w14:textId="77777777" w:rsidR="00B93F6B" w:rsidRPr="0015151E" w:rsidRDefault="00B93F6B" w:rsidP="00821D9E">
            <w:pPr>
              <w:rPr>
                <w:lang w:val="en-US" w:eastAsia="en-US"/>
              </w:rPr>
            </w:pPr>
            <w:r w:rsidRPr="0015151E">
              <w:rPr>
                <w:lang w:val="en-US" w:eastAsia="en-US"/>
              </w:rPr>
              <w:t>Support Activities for Mining</w:t>
            </w:r>
          </w:p>
          <w:p w14:paraId="35D90C45" w14:textId="77777777" w:rsidR="00B93F6B" w:rsidRDefault="00B93F6B" w:rsidP="00821D9E">
            <w:pPr>
              <w:rPr>
                <w:lang w:val="en-US" w:eastAsia="en-US"/>
              </w:rPr>
            </w:pPr>
            <w:r w:rsidRPr="0015151E">
              <w:rPr>
                <w:lang w:val="en-US" w:eastAsia="en-US"/>
              </w:rPr>
              <w:t>Wood Product Manufacturing</w:t>
            </w:r>
          </w:p>
        </w:tc>
      </w:tr>
    </w:tbl>
    <w:p w14:paraId="5CA39638" w14:textId="77777777" w:rsidR="00B93F6B" w:rsidRPr="00254663" w:rsidRDefault="00B93F6B" w:rsidP="00B93F6B">
      <w:pPr>
        <w:rPr>
          <w:highlight w:val="yellow"/>
          <w:u w:val="single"/>
        </w:rPr>
      </w:pPr>
    </w:p>
    <w:p w14:paraId="264E9EB7" w14:textId="4534EC5D" w:rsidR="00B93F6B" w:rsidRPr="00B93F6B" w:rsidRDefault="00B93F6B" w:rsidP="00B93F6B">
      <w:pPr>
        <w:spacing w:before="0" w:after="160" w:line="259" w:lineRule="auto"/>
        <w:rPr>
          <w:b/>
          <w:bCs/>
          <w:u w:val="single"/>
          <w:lang w:val="en-GB"/>
        </w:rPr>
      </w:pPr>
      <w:r>
        <w:rPr>
          <w:lang w:val="en-GB"/>
        </w:rPr>
        <w:t xml:space="preserve">The changes proposed below are applicable to </w:t>
      </w:r>
      <w:proofErr w:type="spellStart"/>
      <w:r w:rsidR="00324595" w:rsidRPr="00324595">
        <w:rPr>
          <w:b/>
          <w:bCs/>
          <w:u w:val="single"/>
          <w:lang w:val="en-GB"/>
        </w:rPr>
        <w:t>Solactive</w:t>
      </w:r>
      <w:proofErr w:type="spellEnd"/>
      <w:r w:rsidR="00324595" w:rsidRPr="00324595">
        <w:rPr>
          <w:b/>
          <w:bCs/>
          <w:u w:val="single"/>
          <w:lang w:val="en-GB"/>
        </w:rPr>
        <w:t xml:space="preserve"> Equal Weight US Health Care Index</w:t>
      </w:r>
      <w:r w:rsidR="00324595">
        <w:rPr>
          <w:b/>
          <w:bCs/>
          <w:u w:val="single"/>
          <w:lang w:val="en-GB"/>
        </w:rPr>
        <w:t xml:space="preserve"> </w:t>
      </w:r>
      <w:r w:rsidRPr="00B93F6B">
        <w:rPr>
          <w:b/>
          <w:bCs/>
          <w:u w:val="single"/>
          <w:lang w:val="en-GB"/>
        </w:rPr>
        <w:t>family</w:t>
      </w:r>
    </w:p>
    <w:p w14:paraId="312B93E5" w14:textId="77777777" w:rsidR="00B93F6B" w:rsidRDefault="00B93F6B" w:rsidP="00B93F6B">
      <w:pPr>
        <w:spacing w:before="0" w:after="160" w:line="259" w:lineRule="auto"/>
        <w:rPr>
          <w:u w:val="single"/>
          <w:lang w:val="en-GB"/>
        </w:rPr>
      </w:pPr>
      <w:r>
        <w:rPr>
          <w:u w:val="single"/>
          <w:lang w:val="en-GB"/>
        </w:rPr>
        <w:t xml:space="preserve">Section </w:t>
      </w:r>
      <w:r w:rsidRPr="00B93F6B">
        <w:rPr>
          <w:u w:val="single"/>
          <w:lang w:val="en-GB"/>
        </w:rPr>
        <w:t>2.1. INDEX UNIVERSE REQUIREMENTS</w:t>
      </w:r>
    </w:p>
    <w:p w14:paraId="38B36637" w14:textId="51A93F84" w:rsidR="00324595" w:rsidRPr="00324595" w:rsidRDefault="00324595" w:rsidP="00324595">
      <w:pPr>
        <w:spacing w:before="0" w:after="160" w:line="259" w:lineRule="auto"/>
        <w:rPr>
          <w:b/>
          <w:bCs/>
        </w:rPr>
      </w:pPr>
      <w:r w:rsidRPr="00324595">
        <w:rPr>
          <w:b/>
          <w:bCs/>
        </w:rPr>
        <w:t>From:</w:t>
      </w:r>
    </w:p>
    <w:p w14:paraId="55651509" w14:textId="6107A560" w:rsidR="00324595" w:rsidRPr="00324595" w:rsidRDefault="00324595" w:rsidP="00324595">
      <w:pPr>
        <w:pStyle w:val="ListParagraph"/>
        <w:numPr>
          <w:ilvl w:val="0"/>
          <w:numId w:val="25"/>
        </w:numPr>
        <w:spacing w:before="0" w:after="160" w:line="259" w:lineRule="auto"/>
        <w:rPr>
          <w:u w:val="single"/>
        </w:rPr>
      </w:pPr>
      <w:proofErr w:type="spellStart"/>
      <w:r w:rsidRPr="00324595">
        <w:rPr>
          <w:u w:val="single"/>
        </w:rPr>
        <w:t>Classified</w:t>
      </w:r>
      <w:proofErr w:type="spellEnd"/>
      <w:r w:rsidRPr="00324595">
        <w:rPr>
          <w:u w:val="single"/>
        </w:rPr>
        <w:t xml:space="preserve"> </w:t>
      </w:r>
      <w:proofErr w:type="spellStart"/>
      <w:r w:rsidRPr="00324595">
        <w:rPr>
          <w:u w:val="single"/>
        </w:rPr>
        <w:t>under</w:t>
      </w:r>
      <w:proofErr w:type="spellEnd"/>
      <w:r w:rsidRPr="00324595">
        <w:rPr>
          <w:u w:val="single"/>
        </w:rPr>
        <w:t xml:space="preserve"> the Economy </w:t>
      </w:r>
      <w:proofErr w:type="spellStart"/>
      <w:r w:rsidRPr="00324595">
        <w:rPr>
          <w:u w:val="single"/>
        </w:rPr>
        <w:t>Sector</w:t>
      </w:r>
      <w:proofErr w:type="spellEnd"/>
      <w:r w:rsidRPr="00324595">
        <w:rPr>
          <w:u w:val="single"/>
        </w:rPr>
        <w:t xml:space="preserve"> “</w:t>
      </w:r>
      <w:proofErr w:type="spellStart"/>
      <w:r w:rsidRPr="00324595">
        <w:rPr>
          <w:u w:val="single"/>
        </w:rPr>
        <w:t>Healthcare</w:t>
      </w:r>
      <w:proofErr w:type="spellEnd"/>
      <w:r w:rsidRPr="00324595">
        <w:rPr>
          <w:u w:val="single"/>
        </w:rPr>
        <w:t>”</w:t>
      </w:r>
    </w:p>
    <w:p w14:paraId="21E4D7EF" w14:textId="64F68311" w:rsidR="00324595" w:rsidRPr="00324595" w:rsidRDefault="00324595" w:rsidP="00324595">
      <w:pPr>
        <w:spacing w:before="0" w:after="160" w:line="259" w:lineRule="auto"/>
        <w:rPr>
          <w:b/>
          <w:bCs/>
        </w:rPr>
      </w:pPr>
      <w:r w:rsidRPr="00324595">
        <w:rPr>
          <w:b/>
          <w:bCs/>
        </w:rPr>
        <w:t>To:</w:t>
      </w:r>
    </w:p>
    <w:p w14:paraId="2176089B" w14:textId="3D49AAC8" w:rsidR="00B93F6B" w:rsidRDefault="00324595" w:rsidP="00324595">
      <w:pPr>
        <w:pStyle w:val="ListParagraph"/>
        <w:numPr>
          <w:ilvl w:val="0"/>
          <w:numId w:val="25"/>
        </w:numPr>
        <w:spacing w:before="0" w:after="160" w:line="259" w:lineRule="auto"/>
        <w:rPr>
          <w:u w:val="single"/>
        </w:rPr>
      </w:pPr>
      <w:proofErr w:type="spellStart"/>
      <w:r w:rsidRPr="00324595">
        <w:rPr>
          <w:u w:val="single"/>
        </w:rPr>
        <w:t>Classified</w:t>
      </w:r>
      <w:proofErr w:type="spellEnd"/>
      <w:r w:rsidRPr="00324595">
        <w:rPr>
          <w:u w:val="single"/>
        </w:rPr>
        <w:t xml:space="preserve"> </w:t>
      </w:r>
      <w:proofErr w:type="spellStart"/>
      <w:r w:rsidRPr="00324595">
        <w:rPr>
          <w:u w:val="single"/>
        </w:rPr>
        <w:t>under</w:t>
      </w:r>
      <w:proofErr w:type="spellEnd"/>
      <w:r w:rsidRPr="00324595">
        <w:rPr>
          <w:u w:val="single"/>
        </w:rPr>
        <w:t xml:space="preserve"> the RBICS Economy “</w:t>
      </w:r>
      <w:proofErr w:type="spellStart"/>
      <w:r w:rsidRPr="00324595">
        <w:rPr>
          <w:u w:val="single"/>
        </w:rPr>
        <w:t>Healthcare</w:t>
      </w:r>
      <w:proofErr w:type="spellEnd"/>
      <w:r w:rsidRPr="00324595">
        <w:rPr>
          <w:u w:val="single"/>
        </w:rPr>
        <w:t>”</w:t>
      </w:r>
    </w:p>
    <w:p w14:paraId="77DE4C29" w14:textId="77777777" w:rsidR="00324595" w:rsidRDefault="00324595" w:rsidP="00324595">
      <w:pPr>
        <w:pStyle w:val="ListParagraph"/>
        <w:numPr>
          <w:ilvl w:val="0"/>
          <w:numId w:val="25"/>
        </w:numPr>
        <w:spacing w:before="0" w:after="160" w:line="259" w:lineRule="auto"/>
        <w:rPr>
          <w:u w:val="single"/>
        </w:rPr>
      </w:pPr>
    </w:p>
    <w:p w14:paraId="66AE4855" w14:textId="618D60A4" w:rsidR="00324595" w:rsidRPr="00324595" w:rsidRDefault="00324595" w:rsidP="00324595">
      <w:pPr>
        <w:spacing w:before="0" w:after="160" w:line="259" w:lineRule="auto"/>
        <w:rPr>
          <w:b/>
          <w:bCs/>
          <w:u w:val="single"/>
          <w:lang w:val="en-GB"/>
        </w:rPr>
      </w:pPr>
      <w:r w:rsidRPr="00324595">
        <w:rPr>
          <w:lang w:val="en-GB"/>
        </w:rPr>
        <w:t xml:space="preserve">The changes proposed below are applicable to </w:t>
      </w:r>
      <w:proofErr w:type="spellStart"/>
      <w:r w:rsidRPr="00324595">
        <w:rPr>
          <w:b/>
          <w:bCs/>
          <w:u w:val="single"/>
          <w:lang w:val="en-GB"/>
        </w:rPr>
        <w:t>Solactive</w:t>
      </w:r>
      <w:proofErr w:type="spellEnd"/>
      <w:r w:rsidRPr="00324595">
        <w:rPr>
          <w:b/>
          <w:bCs/>
          <w:u w:val="single"/>
          <w:lang w:val="en-GB"/>
        </w:rPr>
        <w:t xml:space="preserve"> Equal Weight Canada REIT Index</w:t>
      </w:r>
      <w:r>
        <w:rPr>
          <w:b/>
          <w:bCs/>
          <w:u w:val="single"/>
          <w:lang w:val="en-GB"/>
        </w:rPr>
        <w:t xml:space="preserve"> </w:t>
      </w:r>
      <w:r w:rsidRPr="00324595">
        <w:rPr>
          <w:b/>
          <w:bCs/>
          <w:u w:val="single"/>
          <w:lang w:val="en-GB"/>
        </w:rPr>
        <w:t>family</w:t>
      </w:r>
    </w:p>
    <w:p w14:paraId="3AEEACF7" w14:textId="77777777" w:rsidR="00324595" w:rsidRPr="00E010F4" w:rsidRDefault="00324595" w:rsidP="00324595">
      <w:pPr>
        <w:rPr>
          <w:b/>
          <w:bCs/>
        </w:rPr>
      </w:pPr>
      <w:r w:rsidRPr="00E010F4">
        <w:rPr>
          <w:b/>
          <w:bCs/>
        </w:rPr>
        <w:t>From</w:t>
      </w:r>
    </w:p>
    <w:p w14:paraId="716E4EED" w14:textId="77777777" w:rsidR="00324595" w:rsidRDefault="00324595" w:rsidP="00324595">
      <w:proofErr w:type="spellStart"/>
      <w:r w:rsidRPr="00E010F4">
        <w:t>For</w:t>
      </w:r>
      <w:proofErr w:type="spellEnd"/>
      <w:r w:rsidRPr="00E010F4">
        <w:t xml:space="preserve"> </w:t>
      </w:r>
      <w:proofErr w:type="spellStart"/>
      <w:r w:rsidRPr="00E010F4">
        <w:t>new</w:t>
      </w:r>
      <w:proofErr w:type="spellEnd"/>
      <w:r w:rsidRPr="00E010F4">
        <w:t xml:space="preserve"> Index Components </w:t>
      </w:r>
      <w:proofErr w:type="spellStart"/>
      <w:r w:rsidRPr="00E010F4">
        <w:t>there</w:t>
      </w:r>
      <w:proofErr w:type="spellEnd"/>
      <w:r w:rsidRPr="00E010F4">
        <w:t xml:space="preserve"> </w:t>
      </w:r>
      <w:proofErr w:type="spellStart"/>
      <w:r w:rsidRPr="00E010F4">
        <w:t>must</w:t>
      </w:r>
      <w:proofErr w:type="spellEnd"/>
      <w:r w:rsidRPr="00E010F4">
        <w:t xml:space="preserve"> </w:t>
      </w:r>
      <w:proofErr w:type="spellStart"/>
      <w:r w:rsidRPr="00E010F4">
        <w:t>be</w:t>
      </w:r>
      <w:proofErr w:type="spellEnd"/>
      <w:r w:rsidRPr="00E010F4">
        <w:t xml:space="preserve"> a </w:t>
      </w:r>
      <w:proofErr w:type="spellStart"/>
      <w:r w:rsidRPr="00E010F4">
        <w:t>minimum</w:t>
      </w:r>
      <w:proofErr w:type="spellEnd"/>
      <w:r w:rsidRPr="00E010F4">
        <w:t xml:space="preserve"> Average Daily Value </w:t>
      </w:r>
      <w:proofErr w:type="spellStart"/>
      <w:r w:rsidRPr="00E010F4">
        <w:t>Traded</w:t>
      </w:r>
      <w:proofErr w:type="spellEnd"/>
      <w:r w:rsidRPr="00E010F4">
        <w:t xml:space="preserve"> of CAD 1 </w:t>
      </w:r>
      <w:proofErr w:type="spellStart"/>
      <w:r w:rsidRPr="00E010F4">
        <w:t>million</w:t>
      </w:r>
      <w:proofErr w:type="spellEnd"/>
      <w:r w:rsidRPr="00E010F4">
        <w:t xml:space="preserve"> </w:t>
      </w:r>
      <w:proofErr w:type="spellStart"/>
      <w:r w:rsidRPr="00E010F4">
        <w:t>over</w:t>
      </w:r>
      <w:proofErr w:type="spellEnd"/>
      <w:r w:rsidRPr="00E010F4">
        <w:t xml:space="preserve"> the </w:t>
      </w:r>
      <w:proofErr w:type="spellStart"/>
      <w:r w:rsidRPr="00E010F4">
        <w:t>preceding</w:t>
      </w:r>
      <w:proofErr w:type="spellEnd"/>
      <w:r w:rsidRPr="00E010F4">
        <w:t xml:space="preserve"> 3 </w:t>
      </w:r>
      <w:proofErr w:type="spellStart"/>
      <w:r w:rsidRPr="00E010F4">
        <w:t>months</w:t>
      </w:r>
      <w:proofErr w:type="spellEnd"/>
      <w:r w:rsidRPr="00E010F4">
        <w:t xml:space="preserve">, </w:t>
      </w:r>
      <w:proofErr w:type="spellStart"/>
      <w:r w:rsidRPr="00E010F4">
        <w:t>for</w:t>
      </w:r>
      <w:proofErr w:type="spellEnd"/>
      <w:r w:rsidRPr="00E010F4">
        <w:t xml:space="preserve"> </w:t>
      </w:r>
      <w:proofErr w:type="spellStart"/>
      <w:r w:rsidRPr="00E010F4">
        <w:t>current</w:t>
      </w:r>
      <w:proofErr w:type="spellEnd"/>
      <w:r w:rsidRPr="00E010F4">
        <w:t xml:space="preserve"> Index Components the </w:t>
      </w:r>
      <w:proofErr w:type="spellStart"/>
      <w:r w:rsidRPr="00E010F4">
        <w:t>minimum</w:t>
      </w:r>
      <w:proofErr w:type="spellEnd"/>
      <w:r w:rsidRPr="00E010F4">
        <w:t xml:space="preserve"> Average Daily Value </w:t>
      </w:r>
      <w:proofErr w:type="spellStart"/>
      <w:r w:rsidRPr="00E010F4">
        <w:t>Traded</w:t>
      </w:r>
      <w:proofErr w:type="spellEnd"/>
      <w:r w:rsidRPr="00E010F4">
        <w:t xml:space="preserve"> </w:t>
      </w:r>
      <w:proofErr w:type="spellStart"/>
      <w:r w:rsidRPr="00E010F4">
        <w:t>over</w:t>
      </w:r>
      <w:proofErr w:type="spellEnd"/>
      <w:r w:rsidRPr="00E010F4">
        <w:t xml:space="preserve"> the </w:t>
      </w:r>
      <w:proofErr w:type="spellStart"/>
      <w:r w:rsidRPr="00E010F4">
        <w:t>preceding</w:t>
      </w:r>
      <w:proofErr w:type="spellEnd"/>
      <w:r w:rsidRPr="00E010F4">
        <w:t xml:space="preserve"> 3 </w:t>
      </w:r>
      <w:proofErr w:type="spellStart"/>
      <w:r w:rsidRPr="00E010F4">
        <w:t>months</w:t>
      </w:r>
      <w:proofErr w:type="spellEnd"/>
      <w:r w:rsidRPr="00E010F4">
        <w:t xml:space="preserve"> </w:t>
      </w:r>
      <w:proofErr w:type="spellStart"/>
      <w:r w:rsidRPr="00E010F4">
        <w:t>must</w:t>
      </w:r>
      <w:proofErr w:type="spellEnd"/>
      <w:r w:rsidRPr="00E010F4">
        <w:t xml:space="preserve"> </w:t>
      </w:r>
      <w:proofErr w:type="spellStart"/>
      <w:r w:rsidRPr="00E010F4">
        <w:t>be</w:t>
      </w:r>
      <w:proofErr w:type="spellEnd"/>
      <w:r w:rsidRPr="00E010F4">
        <w:t xml:space="preserve"> at least CAD 750,000. The ADV </w:t>
      </w:r>
      <w:proofErr w:type="spellStart"/>
      <w:r w:rsidRPr="00E010F4">
        <w:t>is</w:t>
      </w:r>
      <w:proofErr w:type="spellEnd"/>
      <w:r w:rsidRPr="00E010F4">
        <w:t xml:space="preserve"> </w:t>
      </w:r>
      <w:proofErr w:type="spellStart"/>
      <w:r w:rsidRPr="00E010F4">
        <w:t>calculated</w:t>
      </w:r>
      <w:proofErr w:type="spellEnd"/>
      <w:r w:rsidRPr="00E010F4">
        <w:t xml:space="preserve"> </w:t>
      </w:r>
      <w:proofErr w:type="spellStart"/>
      <w:r w:rsidRPr="00E010F4">
        <w:t>using</w:t>
      </w:r>
      <w:proofErr w:type="spellEnd"/>
      <w:r w:rsidRPr="00E010F4">
        <w:t xml:space="preserve"> Canada </w:t>
      </w:r>
      <w:proofErr w:type="spellStart"/>
      <w:r w:rsidRPr="00E010F4">
        <w:t>composite</w:t>
      </w:r>
      <w:proofErr w:type="spellEnd"/>
      <w:r w:rsidRPr="00E010F4">
        <w:t xml:space="preserve"> </w:t>
      </w:r>
      <w:proofErr w:type="spellStart"/>
      <w:r w:rsidRPr="00E010F4">
        <w:t>trading</w:t>
      </w:r>
      <w:proofErr w:type="spellEnd"/>
      <w:r w:rsidRPr="00E010F4">
        <w:t xml:space="preserve"> data </w:t>
      </w:r>
      <w:proofErr w:type="spellStart"/>
      <w:r w:rsidRPr="00E010F4">
        <w:t>for</w:t>
      </w:r>
      <w:proofErr w:type="spellEnd"/>
      <w:r w:rsidRPr="00E010F4">
        <w:t xml:space="preserve"> </w:t>
      </w:r>
      <w:proofErr w:type="spellStart"/>
      <w:r w:rsidRPr="00E010F4">
        <w:t>securities</w:t>
      </w:r>
      <w:proofErr w:type="spellEnd"/>
      <w:r w:rsidRPr="00E010F4">
        <w:t xml:space="preserve"> </w:t>
      </w:r>
      <w:proofErr w:type="spellStart"/>
      <w:r w:rsidRPr="00E010F4">
        <w:t>trading</w:t>
      </w:r>
      <w:proofErr w:type="spellEnd"/>
      <w:r w:rsidRPr="00E010F4">
        <w:t xml:space="preserve"> in CAD and USD in Canadian </w:t>
      </w:r>
      <w:proofErr w:type="spellStart"/>
      <w:r w:rsidRPr="00E010F4">
        <w:t>exchanges</w:t>
      </w:r>
      <w:proofErr w:type="spellEnd"/>
      <w:r w:rsidRPr="00E010F4">
        <w:t xml:space="preserve">, but </w:t>
      </w:r>
      <w:proofErr w:type="spellStart"/>
      <w:r w:rsidRPr="00E010F4">
        <w:t>only</w:t>
      </w:r>
      <w:proofErr w:type="spellEnd"/>
      <w:r w:rsidRPr="00E010F4">
        <w:t xml:space="preserve"> the CAD </w:t>
      </w:r>
      <w:proofErr w:type="spellStart"/>
      <w:r w:rsidRPr="00E010F4">
        <w:t>listing</w:t>
      </w:r>
      <w:proofErr w:type="spellEnd"/>
      <w:r w:rsidRPr="00E010F4">
        <w:t xml:space="preserve"> </w:t>
      </w:r>
      <w:proofErr w:type="spellStart"/>
      <w:r w:rsidRPr="00E010F4">
        <w:t>would</w:t>
      </w:r>
      <w:proofErr w:type="spellEnd"/>
      <w:r w:rsidRPr="00E010F4">
        <w:t xml:space="preserve"> </w:t>
      </w:r>
      <w:proofErr w:type="spellStart"/>
      <w:r w:rsidRPr="00E010F4">
        <w:t>be</w:t>
      </w:r>
      <w:proofErr w:type="spellEnd"/>
      <w:r w:rsidRPr="00E010F4">
        <w:t xml:space="preserve"> </w:t>
      </w:r>
      <w:proofErr w:type="spellStart"/>
      <w:r w:rsidRPr="00E010F4">
        <w:t>eligible</w:t>
      </w:r>
      <w:proofErr w:type="spellEnd"/>
      <w:r w:rsidRPr="00E010F4">
        <w:t xml:space="preserve"> </w:t>
      </w:r>
      <w:proofErr w:type="spellStart"/>
      <w:r w:rsidRPr="00E010F4">
        <w:t>for</w:t>
      </w:r>
      <w:proofErr w:type="spellEnd"/>
      <w:r w:rsidRPr="00E010F4">
        <w:t xml:space="preserve"> </w:t>
      </w:r>
      <w:proofErr w:type="spellStart"/>
      <w:r w:rsidRPr="00E010F4">
        <w:t>inclusion</w:t>
      </w:r>
      <w:proofErr w:type="spellEnd"/>
      <w:r w:rsidRPr="00E010F4">
        <w:t>.</w:t>
      </w:r>
    </w:p>
    <w:p w14:paraId="442657EC" w14:textId="77777777" w:rsidR="00F30064" w:rsidRPr="00E010F4" w:rsidRDefault="00F30064" w:rsidP="00324595"/>
    <w:p w14:paraId="2FD6DA14" w14:textId="77777777" w:rsidR="00324595" w:rsidRPr="00E010F4" w:rsidRDefault="00324595" w:rsidP="00324595">
      <w:pPr>
        <w:rPr>
          <w:b/>
          <w:bCs/>
        </w:rPr>
      </w:pPr>
      <w:r w:rsidRPr="00E010F4">
        <w:rPr>
          <w:b/>
          <w:bCs/>
        </w:rPr>
        <w:t>To</w:t>
      </w:r>
    </w:p>
    <w:p w14:paraId="6078EE08" w14:textId="77777777" w:rsidR="00324595" w:rsidRPr="00E010F4" w:rsidRDefault="00324595" w:rsidP="00324595">
      <w:r w:rsidRPr="00E010F4">
        <w:t xml:space="preserve">Index </w:t>
      </w:r>
      <w:proofErr w:type="spellStart"/>
      <w:r w:rsidRPr="00E010F4">
        <w:t>Component</w:t>
      </w:r>
      <w:proofErr w:type="spellEnd"/>
      <w:r w:rsidRPr="00E010F4">
        <w:t xml:space="preserve"> </w:t>
      </w:r>
      <w:proofErr w:type="spellStart"/>
      <w:r w:rsidRPr="00E010F4">
        <w:t>must</w:t>
      </w:r>
      <w:proofErr w:type="spellEnd"/>
      <w:r w:rsidRPr="00E010F4">
        <w:t xml:space="preserve"> </w:t>
      </w:r>
      <w:proofErr w:type="spellStart"/>
      <w:r w:rsidRPr="00E010F4">
        <w:t>meet</w:t>
      </w:r>
      <w:proofErr w:type="spellEnd"/>
      <w:r w:rsidRPr="00E010F4">
        <w:t xml:space="preserve"> a </w:t>
      </w:r>
      <w:proofErr w:type="spellStart"/>
      <w:r w:rsidRPr="00E010F4">
        <w:t>minimum</w:t>
      </w:r>
      <w:proofErr w:type="spellEnd"/>
      <w:r w:rsidRPr="00E010F4">
        <w:t xml:space="preserve"> 3 </w:t>
      </w:r>
      <w:proofErr w:type="spellStart"/>
      <w:r w:rsidRPr="00E010F4">
        <w:t>months</w:t>
      </w:r>
      <w:proofErr w:type="spellEnd"/>
      <w:r w:rsidRPr="00E010F4">
        <w:t xml:space="preserve"> Average Daily Value (ADV) in </w:t>
      </w:r>
      <w:proofErr w:type="spellStart"/>
      <w:r w:rsidRPr="00E010F4">
        <w:t>each</w:t>
      </w:r>
      <w:proofErr w:type="spellEnd"/>
      <w:r w:rsidRPr="00E010F4">
        <w:t xml:space="preserve"> of the 3 </w:t>
      </w:r>
      <w:proofErr w:type="spellStart"/>
      <w:r w:rsidRPr="00E010F4">
        <w:t>months</w:t>
      </w:r>
      <w:proofErr w:type="spellEnd"/>
      <w:r w:rsidRPr="00E010F4">
        <w:t xml:space="preserve"> </w:t>
      </w:r>
      <w:proofErr w:type="spellStart"/>
      <w:r w:rsidRPr="00E010F4">
        <w:t>starting</w:t>
      </w:r>
      <w:proofErr w:type="spellEnd"/>
      <w:r w:rsidRPr="00E010F4">
        <w:t xml:space="preserve"> </w:t>
      </w:r>
      <w:proofErr w:type="spellStart"/>
      <w:r w:rsidRPr="00E010F4">
        <w:t>from</w:t>
      </w:r>
      <w:proofErr w:type="spellEnd"/>
      <w:r w:rsidRPr="00E010F4">
        <w:t xml:space="preserve"> and </w:t>
      </w:r>
      <w:proofErr w:type="spellStart"/>
      <w:r w:rsidRPr="00E010F4">
        <w:t>including</w:t>
      </w:r>
      <w:proofErr w:type="spellEnd"/>
      <w:r w:rsidRPr="00E010F4">
        <w:t xml:space="preserve"> the </w:t>
      </w:r>
      <w:proofErr w:type="spellStart"/>
      <w:r w:rsidRPr="00E010F4">
        <w:t>selection</w:t>
      </w:r>
      <w:proofErr w:type="spellEnd"/>
      <w:r w:rsidRPr="00E010F4">
        <w:t xml:space="preserve"> </w:t>
      </w:r>
      <w:proofErr w:type="spellStart"/>
      <w:r w:rsidRPr="00E010F4">
        <w:t>day</w:t>
      </w:r>
      <w:proofErr w:type="spellEnd"/>
      <w:r w:rsidRPr="00E010F4">
        <w:t xml:space="preserve">. </w:t>
      </w:r>
      <w:proofErr w:type="spellStart"/>
      <w:r w:rsidRPr="00E010F4">
        <w:t>For</w:t>
      </w:r>
      <w:proofErr w:type="spellEnd"/>
      <w:r w:rsidRPr="00E010F4">
        <w:t xml:space="preserve"> </w:t>
      </w:r>
      <w:proofErr w:type="spellStart"/>
      <w:r w:rsidRPr="00E010F4">
        <w:t>new</w:t>
      </w:r>
      <w:proofErr w:type="spellEnd"/>
      <w:r w:rsidRPr="00E010F4">
        <w:t xml:space="preserve"> Index Components the </w:t>
      </w:r>
      <w:proofErr w:type="spellStart"/>
      <w:r w:rsidRPr="00E010F4">
        <w:t>minimum</w:t>
      </w:r>
      <w:proofErr w:type="spellEnd"/>
      <w:r w:rsidRPr="00E010F4">
        <w:t xml:space="preserve"> ADV </w:t>
      </w:r>
      <w:proofErr w:type="spellStart"/>
      <w:r w:rsidRPr="00E010F4">
        <w:t>is</w:t>
      </w:r>
      <w:proofErr w:type="spellEnd"/>
      <w:r w:rsidRPr="00E010F4">
        <w:t xml:space="preserve"> CAD 1 </w:t>
      </w:r>
      <w:proofErr w:type="spellStart"/>
      <w:r w:rsidRPr="00E010F4">
        <w:t>million</w:t>
      </w:r>
      <w:proofErr w:type="spellEnd"/>
      <w:r w:rsidRPr="00E010F4">
        <w:t xml:space="preserve"> and </w:t>
      </w:r>
      <w:proofErr w:type="spellStart"/>
      <w:r w:rsidRPr="00E010F4">
        <w:t>for</w:t>
      </w:r>
      <w:proofErr w:type="spellEnd"/>
      <w:r w:rsidRPr="00E010F4">
        <w:t xml:space="preserve"> </w:t>
      </w:r>
      <w:proofErr w:type="spellStart"/>
      <w:r w:rsidRPr="00E010F4">
        <w:t>current</w:t>
      </w:r>
      <w:proofErr w:type="spellEnd"/>
      <w:r w:rsidRPr="00E010F4">
        <w:t xml:space="preserve"> Index Components </w:t>
      </w:r>
      <w:proofErr w:type="spellStart"/>
      <w:r w:rsidRPr="00E010F4">
        <w:t>it</w:t>
      </w:r>
      <w:proofErr w:type="spellEnd"/>
      <w:r w:rsidRPr="00E010F4">
        <w:t xml:space="preserve"> </w:t>
      </w:r>
      <w:proofErr w:type="spellStart"/>
      <w:r w:rsidRPr="00E010F4">
        <w:t>is</w:t>
      </w:r>
      <w:proofErr w:type="spellEnd"/>
      <w:r w:rsidRPr="00E010F4">
        <w:t xml:space="preserve"> CAD 750,000.</w:t>
      </w:r>
    </w:p>
    <w:p w14:paraId="5F3B2DD3" w14:textId="77777777" w:rsidR="00324595" w:rsidRPr="00324595" w:rsidRDefault="00324595" w:rsidP="00324595">
      <w:pPr>
        <w:spacing w:before="0" w:after="160" w:line="259" w:lineRule="auto"/>
        <w:rPr>
          <w:u w:val="single"/>
        </w:rPr>
      </w:pPr>
    </w:p>
    <w:p w14:paraId="45154AF2" w14:textId="01F83AEA"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173A3257"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E010F4">
        <w:rPr>
          <w:lang w:val="en-US"/>
        </w:rPr>
        <w:t>Solactive Equal Weight Indices</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09534D" w14:paraId="008B2314" w14:textId="77777777" w:rsidTr="00466905">
        <w:trPr>
          <w:trHeight w:val="4596"/>
        </w:trPr>
        <w:tc>
          <w:tcPr>
            <w:tcW w:w="10171" w:type="dxa"/>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763D43B8" w14:textId="2B308B6C"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t>Consultation Procedure</w:t>
      </w:r>
    </w:p>
    <w:p w14:paraId="08D8E698" w14:textId="1B526C27" w:rsidR="005055F5" w:rsidRDefault="005055F5" w:rsidP="005055F5">
      <w:pPr>
        <w:spacing w:before="0" w:after="0" w:line="360" w:lineRule="auto"/>
        <w:rPr>
          <w:lang w:val="en-US"/>
        </w:rPr>
      </w:pPr>
      <w:r w:rsidRPr="00C04273">
        <w:rPr>
          <w:lang w:val="en-US"/>
        </w:rPr>
        <w:t>Stakeholders and third parties who are interested in participating in this Market Consultation, are invited to respond until</w:t>
      </w:r>
      <w:r w:rsidR="00E010F4">
        <w:rPr>
          <w:lang w:val="en-US"/>
        </w:rPr>
        <w:t xml:space="preserve"> 2025-02-20</w:t>
      </w:r>
    </w:p>
    <w:p w14:paraId="741A56A5" w14:textId="275DA17C" w:rsidR="00651886" w:rsidRPr="00C04273" w:rsidRDefault="00651886" w:rsidP="00651886">
      <w:pPr>
        <w:spacing w:before="0" w:after="0" w:line="360" w:lineRule="auto"/>
        <w:rPr>
          <w:lang w:val="en-US"/>
        </w:rPr>
      </w:pPr>
      <w:r>
        <w:t>[</w:t>
      </w:r>
      <w:r w:rsidRPr="00FE1081">
        <w:rPr>
          <w:lang w:val="en-US"/>
        </w:rPr>
        <w:t xml:space="preserve">Subject to feedback received on this Market Consultation, the changes mentioned </w:t>
      </w:r>
      <w:r>
        <w:t xml:space="preserve">above are intended to </w:t>
      </w:r>
      <w:r w:rsidRPr="00FE1081">
        <w:rPr>
          <w:lang w:val="en-US"/>
        </w:rPr>
        <w:t>become effective on</w:t>
      </w:r>
      <w:r w:rsidR="00E010F4">
        <w:rPr>
          <w:lang w:val="en-US"/>
        </w:rPr>
        <w:t xml:space="preserve"> 2025-03-06 and will affect the upcoming March Rebalance of the indices]</w:t>
      </w:r>
    </w:p>
    <w:p w14:paraId="0D223365" w14:textId="77777777" w:rsidR="00651886" w:rsidRPr="00C04273" w:rsidRDefault="00651886" w:rsidP="005055F5">
      <w:pPr>
        <w:spacing w:before="0" w:after="0" w:line="360" w:lineRule="auto"/>
        <w:rPr>
          <w:lang w:val="en-US"/>
        </w:rPr>
      </w:pPr>
    </w:p>
    <w:p w14:paraId="04131284" w14:textId="79BE8262"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E010F4" w:rsidRPr="00F30064">
        <w:rPr>
          <w:b/>
          <w:bCs/>
          <w:lang w:val="en-US"/>
        </w:rPr>
        <w:t>SOLACTIVE EQUAL WEIGHT INDICES</w:t>
      </w:r>
      <w:r w:rsidR="00E010F4" w:rsidRPr="00E010F4">
        <w:rPr>
          <w:lang w:val="en-US"/>
        </w:rPr>
        <w:t xml:space="preserve"> </w:t>
      </w:r>
      <w:r w:rsidRPr="00C04273">
        <w:rPr>
          <w:lang w:val="en-US"/>
        </w:rPr>
        <w:t xml:space="preserve">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Default="003D0D25" w:rsidP="003D0D25">
      <w:pPr>
        <w:spacing w:after="0"/>
        <w:ind w:left="1416" w:firstLine="708"/>
      </w:pPr>
      <w:r>
        <w:t>Germany</w:t>
      </w:r>
    </w:p>
    <w:p w14:paraId="752A804F" w14:textId="7A894BF5" w:rsidR="00753C1C" w:rsidRDefault="00753C1C" w:rsidP="003D0D25">
      <w:pPr>
        <w:spacing w:after="0"/>
        <w:ind w:left="1416" w:firstLine="708"/>
      </w:pPr>
    </w:p>
    <w:p w14:paraId="6605CF27" w14:textId="77777777" w:rsidR="00753C1C" w:rsidRDefault="00753C1C" w:rsidP="00753C1C">
      <w:pPr>
        <w:spacing w:after="0"/>
        <w:rPr>
          <w:lang w:val="en-US"/>
        </w:rPr>
      </w:pPr>
      <w:r w:rsidRPr="00C04273">
        <w:rPr>
          <w:lang w:val="en-US"/>
        </w:rPr>
        <w:t>Should you have any additional questions regarding the consultative question in particular, please do not hesitate to contact us via above email address.</w:t>
      </w:r>
    </w:p>
    <w:p w14:paraId="0034008D" w14:textId="13CCFDF4" w:rsidR="00753C1C" w:rsidRPr="00C04273" w:rsidRDefault="00753C1C" w:rsidP="003D0D25">
      <w:pPr>
        <w:spacing w:after="0"/>
        <w:ind w:left="1416" w:firstLine="708"/>
      </w:pPr>
    </w:p>
    <w:p w14:paraId="110BD051" w14:textId="0ADAD553" w:rsidR="005055F5" w:rsidRDefault="005055F5" w:rsidP="0063592D">
      <w:pPr>
        <w:rPr>
          <w:lang w:val="en-GB"/>
        </w:rPr>
      </w:pP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1" w:name="_Toc526233456"/>
                            <w:r w:rsidRPr="008A06B6">
                              <w:rPr>
                                <w:color w:val="FFFFFF" w:themeColor="background1"/>
                                <w:sz w:val="60"/>
                                <w:szCs w:val="60"/>
                                <w:lang w:val="en-US" w:eastAsia="en-US"/>
                              </w:rPr>
                              <w:t>Contact</w:t>
                            </w:r>
                            <w:bookmarkEnd w:id="1"/>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3"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82E595A"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8"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hyperlink r:id="rId19" w:history="1">
                        <w:r w:rsidRPr="00186DB0">
                          <w:rPr>
                            <w:rStyle w:val="Hyperlink"/>
                            <w:color w:val="FFFFFF" w:themeColor="background1"/>
                            <w:lang w:val="en-US" w:eastAsia="en-US"/>
                          </w:rPr>
                          <w:t>www.solactive.com</w:t>
                        </w:r>
                      </w:hyperlink>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20"/>
      <w:headerReference w:type="default" r:id="rId21"/>
      <w:footerReference w:type="even" r:id="rId22"/>
      <w:footerReference w:type="default" r:id="rId23"/>
      <w:headerReference w:type="first" r:id="rId24"/>
      <w:footerReference w:type="first" r:id="rId25"/>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D43A1" w14:textId="77777777" w:rsidR="00BE7D66" w:rsidRDefault="00BE7D66" w:rsidP="002E70FC">
      <w:pPr>
        <w:spacing w:before="0" w:after="0"/>
      </w:pPr>
      <w:r>
        <w:separator/>
      </w:r>
    </w:p>
  </w:endnote>
  <w:endnote w:type="continuationSeparator" w:id="0">
    <w:p w14:paraId="6EA6B1E5" w14:textId="77777777" w:rsidR="00BE7D66" w:rsidRDefault="00BE7D66"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6C075DD-4CD3-4232-BAB4-535A9AC82ED1}"/>
  </w:font>
  <w:font w:name="Flama Semicondensed Light">
    <w:altName w:val="Calibri"/>
    <w:panose1 w:val="02000000000000000000"/>
    <w:charset w:val="00"/>
    <w:family w:val="auto"/>
    <w:pitch w:val="variable"/>
    <w:sig w:usb0="A00000AF" w:usb1="4000207B" w:usb2="00000000" w:usb3="00000000" w:csb0="0000008B" w:csb1="00000000"/>
    <w:embedRegular r:id="rId2" w:fontKey="{CEA4E0AD-C6D0-4FD1-AF0A-559F19E1C31D}"/>
    <w:embedBold r:id="rId3" w:fontKey="{77DD148C-706D-4D83-99D6-3CA3997501E1}"/>
    <w:embedItalic r:id="rId4" w:fontKey="{14B0AEC9-28D6-4D58-AF85-A7F659EFBD1A}"/>
  </w:font>
  <w:font w:name="Segoe UI">
    <w:panose1 w:val="020B0502040204020203"/>
    <w:charset w:val="00"/>
    <w:family w:val="swiss"/>
    <w:pitch w:val="variable"/>
    <w:sig w:usb0="E4002EFF" w:usb1="C000E47F" w:usb2="00000009" w:usb3="00000000" w:csb0="000001FF" w:csb1="00000000"/>
    <w:embedRegular r:id="rId5" w:fontKey="{741C41F4-C7A9-43D5-A20A-6C0C134D967A}"/>
  </w:font>
  <w:font w:name="Flama Semicondensed Medium">
    <w:altName w:val="Calibri"/>
    <w:panose1 w:val="02000000000000000000"/>
    <w:charset w:val="00"/>
    <w:family w:val="auto"/>
    <w:pitch w:val="variable"/>
    <w:sig w:usb0="A00000AF" w:usb1="4000207B" w:usb2="00000000" w:usb3="00000000" w:csb0="0000008B" w:csb1="00000000"/>
    <w:embedRegular r:id="rId6" w:fontKey="{C7AB95DA-750C-41C2-B5AF-C2281E75210A}"/>
    <w:embedBold r:id="rId7" w:fontKey="{EF9E8C48-9EAD-4275-B783-CB74D159F209}"/>
  </w:font>
  <w:font w:name="Calibri Light">
    <w:panose1 w:val="020F0302020204030204"/>
    <w:charset w:val="00"/>
    <w:family w:val="swiss"/>
    <w:pitch w:val="variable"/>
    <w:sig w:usb0="E4002EFF" w:usb1="C200247B" w:usb2="00000009" w:usb3="00000000" w:csb0="000001FF" w:csb1="00000000"/>
    <w:embedRegular r:id="rId8" w:fontKey="{D2CD3809-F181-46F5-A150-3EADCCC157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66CCF" w14:textId="77777777" w:rsidR="00BE7D66" w:rsidRDefault="00BE7D66" w:rsidP="002E70FC">
      <w:pPr>
        <w:spacing w:before="0" w:after="0"/>
      </w:pPr>
      <w:r>
        <w:separator/>
      </w:r>
    </w:p>
  </w:footnote>
  <w:footnote w:type="continuationSeparator" w:id="0">
    <w:p w14:paraId="6D51D06A" w14:textId="77777777" w:rsidR="00BE7D66" w:rsidRDefault="00BE7D66"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E5D9C" w14:textId="30AA3EC4"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040288">
          <w:rPr>
            <w:lang w:val="en-US"/>
          </w:rPr>
          <w:t>Market Consultation Solactive Equal Weight Indices</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9pt" o:bullet="t">
        <v:imagedata r:id="rId1" o:title="S_Icons-Haken_02"/>
      </v:shape>
    </w:pict>
  </w:numPicBullet>
  <w:numPicBullet w:numPicBulletId="1">
    <w:pict>
      <v:shape w14:anchorId="42E02C1B" id="_x0000_i1026" type="#_x0000_t75" style="width:19.9pt;height:19.9pt" o:bullet="t">
        <v:imagedata r:id="rId2" o:title="S_Icons-Pfeil_02"/>
      </v:shape>
    </w:pict>
  </w:numPicBullet>
  <w:numPicBullet w:numPicBulletId="2">
    <w:pict>
      <v:shape w14:anchorId="4360039E" id="_x0000_i1027" type="#_x0000_t75" style="width:15.35pt;height:15.85pt" o:bullet="t">
        <v:imagedata r:id="rId3" o:title="Bullet_2_Indices_Small"/>
      </v:shape>
    </w:pict>
  </w:numPicBullet>
  <w:numPicBullet w:numPicBulletId="3">
    <w:pict>
      <v:shape id="_x0000_i1028"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E84834"/>
    <w:multiLevelType w:val="hybridMultilevel"/>
    <w:tmpl w:val="7A3CB9B4"/>
    <w:lvl w:ilvl="0" w:tplc="B92AFE70">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D95A3F"/>
    <w:multiLevelType w:val="hybridMultilevel"/>
    <w:tmpl w:val="CFB02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AC820B0"/>
    <w:multiLevelType w:val="hybridMultilevel"/>
    <w:tmpl w:val="C5DC2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B47E6B"/>
    <w:multiLevelType w:val="hybridMultilevel"/>
    <w:tmpl w:val="62CCB58E"/>
    <w:lvl w:ilvl="0" w:tplc="B92AFE70">
      <w:start w:val="1"/>
      <w:numFmt w:val="decimal"/>
      <w:lvlText w:val="%1."/>
      <w:lvlJc w:val="left"/>
      <w:pPr>
        <w:tabs>
          <w:tab w:val="num" w:pos="720"/>
        </w:tabs>
        <w:ind w:left="720" w:hanging="360"/>
      </w:pPr>
    </w:lvl>
    <w:lvl w:ilvl="1" w:tplc="9FE81F9A" w:tentative="1">
      <w:start w:val="1"/>
      <w:numFmt w:val="decimal"/>
      <w:lvlText w:val="%2."/>
      <w:lvlJc w:val="left"/>
      <w:pPr>
        <w:tabs>
          <w:tab w:val="num" w:pos="1440"/>
        </w:tabs>
        <w:ind w:left="1440" w:hanging="360"/>
      </w:pPr>
    </w:lvl>
    <w:lvl w:ilvl="2" w:tplc="B30426C4" w:tentative="1">
      <w:start w:val="1"/>
      <w:numFmt w:val="decimal"/>
      <w:lvlText w:val="%3."/>
      <w:lvlJc w:val="left"/>
      <w:pPr>
        <w:tabs>
          <w:tab w:val="num" w:pos="2160"/>
        </w:tabs>
        <w:ind w:left="2160" w:hanging="360"/>
      </w:pPr>
    </w:lvl>
    <w:lvl w:ilvl="3" w:tplc="910AB286" w:tentative="1">
      <w:start w:val="1"/>
      <w:numFmt w:val="decimal"/>
      <w:lvlText w:val="%4."/>
      <w:lvlJc w:val="left"/>
      <w:pPr>
        <w:tabs>
          <w:tab w:val="num" w:pos="2880"/>
        </w:tabs>
        <w:ind w:left="2880" w:hanging="360"/>
      </w:pPr>
    </w:lvl>
    <w:lvl w:ilvl="4" w:tplc="2BBC3DBA" w:tentative="1">
      <w:start w:val="1"/>
      <w:numFmt w:val="decimal"/>
      <w:lvlText w:val="%5."/>
      <w:lvlJc w:val="left"/>
      <w:pPr>
        <w:tabs>
          <w:tab w:val="num" w:pos="3600"/>
        </w:tabs>
        <w:ind w:left="3600" w:hanging="360"/>
      </w:pPr>
    </w:lvl>
    <w:lvl w:ilvl="5" w:tplc="9D0093DE" w:tentative="1">
      <w:start w:val="1"/>
      <w:numFmt w:val="decimal"/>
      <w:lvlText w:val="%6."/>
      <w:lvlJc w:val="left"/>
      <w:pPr>
        <w:tabs>
          <w:tab w:val="num" w:pos="4320"/>
        </w:tabs>
        <w:ind w:left="4320" w:hanging="360"/>
      </w:pPr>
    </w:lvl>
    <w:lvl w:ilvl="6" w:tplc="4E30ED6C" w:tentative="1">
      <w:start w:val="1"/>
      <w:numFmt w:val="decimal"/>
      <w:lvlText w:val="%7."/>
      <w:lvlJc w:val="left"/>
      <w:pPr>
        <w:tabs>
          <w:tab w:val="num" w:pos="5040"/>
        </w:tabs>
        <w:ind w:left="5040" w:hanging="360"/>
      </w:pPr>
    </w:lvl>
    <w:lvl w:ilvl="7" w:tplc="0BEEE392" w:tentative="1">
      <w:start w:val="1"/>
      <w:numFmt w:val="decimal"/>
      <w:lvlText w:val="%8."/>
      <w:lvlJc w:val="left"/>
      <w:pPr>
        <w:tabs>
          <w:tab w:val="num" w:pos="5760"/>
        </w:tabs>
        <w:ind w:left="5760" w:hanging="360"/>
      </w:pPr>
    </w:lvl>
    <w:lvl w:ilvl="8" w:tplc="FE06E1A6" w:tentative="1">
      <w:start w:val="1"/>
      <w:numFmt w:val="decimal"/>
      <w:lvlText w:val="%9."/>
      <w:lvlJc w:val="left"/>
      <w:pPr>
        <w:tabs>
          <w:tab w:val="num" w:pos="6480"/>
        </w:tabs>
        <w:ind w:left="6480" w:hanging="360"/>
      </w:pPr>
    </w:lvl>
  </w:abstractNum>
  <w:abstractNum w:abstractNumId="20"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2"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16882228">
    <w:abstractNumId w:val="6"/>
  </w:num>
  <w:num w:numId="2" w16cid:durableId="1808548388">
    <w:abstractNumId w:val="7"/>
  </w:num>
  <w:num w:numId="3" w16cid:durableId="2038701929">
    <w:abstractNumId w:val="18"/>
  </w:num>
  <w:num w:numId="4" w16cid:durableId="1480615648">
    <w:abstractNumId w:val="23"/>
  </w:num>
  <w:num w:numId="5" w16cid:durableId="1334576874">
    <w:abstractNumId w:val="17"/>
  </w:num>
  <w:num w:numId="6" w16cid:durableId="540364799">
    <w:abstractNumId w:val="8"/>
  </w:num>
  <w:num w:numId="7" w16cid:durableId="1858275221">
    <w:abstractNumId w:val="22"/>
  </w:num>
  <w:num w:numId="8" w16cid:durableId="901016658">
    <w:abstractNumId w:val="4"/>
  </w:num>
  <w:num w:numId="9" w16cid:durableId="2102290154">
    <w:abstractNumId w:val="14"/>
  </w:num>
  <w:num w:numId="10" w16cid:durableId="298844338">
    <w:abstractNumId w:val="12"/>
  </w:num>
  <w:num w:numId="11" w16cid:durableId="1355957478">
    <w:abstractNumId w:val="3"/>
  </w:num>
  <w:num w:numId="12" w16cid:durableId="647904391">
    <w:abstractNumId w:val="1"/>
  </w:num>
  <w:num w:numId="13" w16cid:durableId="1557398562">
    <w:abstractNumId w:val="16"/>
  </w:num>
  <w:num w:numId="14" w16cid:durableId="954285291">
    <w:abstractNumId w:val="10"/>
  </w:num>
  <w:num w:numId="15" w16cid:durableId="1603296829">
    <w:abstractNumId w:val="5"/>
  </w:num>
  <w:num w:numId="16" w16cid:durableId="361563039">
    <w:abstractNumId w:val="11"/>
  </w:num>
  <w:num w:numId="17" w16cid:durableId="2089110761">
    <w:abstractNumId w:val="24"/>
  </w:num>
  <w:num w:numId="18" w16cid:durableId="1319921126">
    <w:abstractNumId w:val="9"/>
  </w:num>
  <w:num w:numId="19" w16cid:durableId="1713846056">
    <w:abstractNumId w:val="20"/>
  </w:num>
  <w:num w:numId="20" w16cid:durableId="1508641200">
    <w:abstractNumId w:val="21"/>
  </w:num>
  <w:num w:numId="21" w16cid:durableId="406808594">
    <w:abstractNumId w:val="0"/>
  </w:num>
  <w:num w:numId="22" w16cid:durableId="523175940">
    <w:abstractNumId w:val="19"/>
  </w:num>
  <w:num w:numId="23" w16cid:durableId="1297446956">
    <w:abstractNumId w:val="2"/>
  </w:num>
  <w:num w:numId="24" w16cid:durableId="1768652169">
    <w:abstractNumId w:val="13"/>
  </w:num>
  <w:num w:numId="25" w16cid:durableId="20684525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08"/>
  <w:hyphenationZone w:val="425"/>
  <w:characterSpacingControl w:val="doNotCompress"/>
  <w:hdrShapeDefaults>
    <o:shapedefaults v:ext="edit" spidmax="2049">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0288"/>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21FB"/>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24595"/>
    <w:rsid w:val="003328E0"/>
    <w:rsid w:val="00334438"/>
    <w:rsid w:val="003405E8"/>
    <w:rsid w:val="00344407"/>
    <w:rsid w:val="0034475A"/>
    <w:rsid w:val="003528CD"/>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D79"/>
    <w:rsid w:val="005055F5"/>
    <w:rsid w:val="00507DB2"/>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6268"/>
    <w:rsid w:val="00750A5D"/>
    <w:rsid w:val="00753112"/>
    <w:rsid w:val="00753C1C"/>
    <w:rsid w:val="00770E36"/>
    <w:rsid w:val="007822BB"/>
    <w:rsid w:val="00783C68"/>
    <w:rsid w:val="0078490A"/>
    <w:rsid w:val="007913A0"/>
    <w:rsid w:val="007C02F4"/>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60D2A"/>
    <w:rsid w:val="00970C26"/>
    <w:rsid w:val="0097651D"/>
    <w:rsid w:val="00983D90"/>
    <w:rsid w:val="0099430F"/>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4163"/>
    <w:rsid w:val="00A65C78"/>
    <w:rsid w:val="00A74BB3"/>
    <w:rsid w:val="00A8219E"/>
    <w:rsid w:val="00A94468"/>
    <w:rsid w:val="00A97E61"/>
    <w:rsid w:val="00AB6B57"/>
    <w:rsid w:val="00AC0BF4"/>
    <w:rsid w:val="00AD1AED"/>
    <w:rsid w:val="00AF0FFD"/>
    <w:rsid w:val="00AF46AF"/>
    <w:rsid w:val="00B01B34"/>
    <w:rsid w:val="00B04ABF"/>
    <w:rsid w:val="00B1629F"/>
    <w:rsid w:val="00B210BC"/>
    <w:rsid w:val="00B302B4"/>
    <w:rsid w:val="00B4681A"/>
    <w:rsid w:val="00B5343D"/>
    <w:rsid w:val="00B61371"/>
    <w:rsid w:val="00B6689F"/>
    <w:rsid w:val="00B84D86"/>
    <w:rsid w:val="00B915B6"/>
    <w:rsid w:val="00B93F6B"/>
    <w:rsid w:val="00BA23D9"/>
    <w:rsid w:val="00BA3A49"/>
    <w:rsid w:val="00BA3FA5"/>
    <w:rsid w:val="00BB1CFA"/>
    <w:rsid w:val="00BB7BCB"/>
    <w:rsid w:val="00BD4042"/>
    <w:rsid w:val="00BE7D66"/>
    <w:rsid w:val="00C0189C"/>
    <w:rsid w:val="00C03D31"/>
    <w:rsid w:val="00C0427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E21FE"/>
    <w:rsid w:val="00DE29BE"/>
    <w:rsid w:val="00DE7F6A"/>
    <w:rsid w:val="00DF306F"/>
    <w:rsid w:val="00E010F4"/>
    <w:rsid w:val="00E05994"/>
    <w:rsid w:val="00E06A59"/>
    <w:rsid w:val="00E072E6"/>
    <w:rsid w:val="00E22C03"/>
    <w:rsid w:val="00E35FA1"/>
    <w:rsid w:val="00E43678"/>
    <w:rsid w:val="00E530BC"/>
    <w:rsid w:val="00E55AA7"/>
    <w:rsid w:val="00E738F4"/>
    <w:rsid w:val="00E75C53"/>
    <w:rsid w:val="00E85D18"/>
    <w:rsid w:val="00E87285"/>
    <w:rsid w:val="00E9274E"/>
    <w:rsid w:val="00E97E0B"/>
    <w:rsid w:val="00EA23FA"/>
    <w:rsid w:val="00EA4B8A"/>
    <w:rsid w:val="00EC2BCA"/>
    <w:rsid w:val="00ED0760"/>
    <w:rsid w:val="00EE22E3"/>
    <w:rsid w:val="00EF4A17"/>
    <w:rsid w:val="00F0488B"/>
    <w:rsid w:val="00F1145C"/>
    <w:rsid w:val="00F25F45"/>
    <w:rsid w:val="00F30064"/>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806be4"/>
    </o:shapedefaults>
    <o:shapelayout v:ext="edit">
      <o:idmap v:ext="edit" data="1"/>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595"/>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040288"/>
    <w:pPr>
      <w:spacing w:after="0" w:line="240" w:lineRule="auto"/>
    </w:pPr>
    <w:rPr>
      <w:rFonts w:ascii="Flama Semicondensed Light" w:eastAsia="Times New Roman" w:hAnsi="Flama Semicondensed Light" w:cs="Times New Roman"/>
      <w:sz w:val="24"/>
      <w:szCs w:val="24"/>
      <w:lang w:eastAsia="de-DE"/>
    </w:rPr>
  </w:style>
  <w:style w:type="table" w:styleId="TableGrid">
    <w:name w:val="Table Grid"/>
    <w:basedOn w:val="TableNormal"/>
    <w:rsid w:val="00B93F6B"/>
    <w:pPr>
      <w:spacing w:after="0" w:line="240" w:lineRule="auto"/>
    </w:pPr>
    <w:rPr>
      <w:rFonts w:ascii="Calibri" w:eastAsia="Calibri" w:hAnsi="Calibri" w:cs="Times New Roman"/>
      <w:sz w:val="20"/>
      <w:szCs w:val="20"/>
      <w:lang w:eastAsia="de-DE"/>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hyperlink" Target="mailto:info@solactive.com"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info@solactive.com" TargetMode="External"/><Relationship Id="rId25" Type="http://schemas.openxmlformats.org/officeDocument/2006/relationships/footer" Target="footer3.xml"/><Relationship Id="rId2" Type="http://schemas.openxmlformats.org/officeDocument/2006/relationships/customXml" Target="../customXml/item2.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header" Target="header3.xml"/><Relationship Id="rId5" Type="http://schemas.openxmlformats.org/officeDocument/2006/relationships/settings" Target="settings.xm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6.svg"/><Relationship Id="rId19" Type="http://schemas.openxmlformats.org/officeDocument/2006/relationships/hyperlink" Target="http://www.solactive.com" TargetMode="External"/><Relationship Id="rId4" Type="http://schemas.openxmlformats.org/officeDocument/2006/relationships/styles" Target="styles.xml"/><Relationship Id="rId9"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156082"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lama Semicondensed Light">
    <w:altName w:val="Calibri"/>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3528CD"/>
    <w:rsid w:val="00523072"/>
    <w:rsid w:val="005325BE"/>
    <w:rsid w:val="00872728"/>
    <w:rsid w:val="00911CFE"/>
    <w:rsid w:val="009A3E4C"/>
    <w:rsid w:val="009E61CE"/>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2026-02-06T00:00:00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Metadata/LabelInfo.xml><?xml version="1.0" encoding="utf-8"?>
<clbl:labelList xmlns:clbl="http://schemas.microsoft.com/office/2020/mipLabelMetadata">
  <clbl:label id="{c8b7b73d-1070-4334-8a43-60b2afae25d8}" enabled="1" method="Standard" siteId="{e612f95c-dec3-4a4f-aec1-33441de6022d}" contentBits="0" removed="0"/>
</clbl:labelList>
</file>

<file path=docProps/app.xml><?xml version="1.0" encoding="utf-8"?>
<Properties xmlns="http://schemas.openxmlformats.org/officeDocument/2006/extended-properties" xmlns:vt="http://schemas.openxmlformats.org/officeDocument/2006/docPropsVTypes">
  <Template>Normal.dotm</Template>
  <TotalTime>138</TotalTime>
  <Pages>8</Pages>
  <Words>1029</Words>
  <Characters>5870</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Equal Weight Indices</vt:lpstr>
      <vt:lpstr>Index Calculation Guideline</vt:lpstr>
    </vt:vector>
  </TitlesOfParts>
  <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Equal Weight Indices</dc:title>
  <dc:subject>Calculation Documents &amp; Methodologies</dc:subject>
  <dc:creator>Solactive AG</dc:creator>
  <cp:keywords/>
  <dc:description/>
  <cp:lastModifiedBy>Itrat Hossain</cp:lastModifiedBy>
  <cp:revision>20</cp:revision>
  <cp:lastPrinted>2018-12-10T16:54:00Z</cp:lastPrinted>
  <dcterms:created xsi:type="dcterms:W3CDTF">2021-11-16T06:38:00Z</dcterms:created>
  <dcterms:modified xsi:type="dcterms:W3CDTF">2026-02-06T17:03:00Z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