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1C1E4953" w:rsidR="0092193A" w:rsidRPr="0097651D" w:rsidRDefault="00B526D8" w:rsidP="0092193A">
              <w:pPr>
                <w:pStyle w:val="Title"/>
                <w:rPr>
                  <w:lang w:val="en-US"/>
                </w:rPr>
              </w:pPr>
              <w:r w:rsidRPr="00B526D8">
                <w:rPr>
                  <w:color w:val="FFFFFF" w:themeColor="background1"/>
                  <w:lang w:val="en-US"/>
                </w:rPr>
                <w:t>Market Consultation Solactive CWM Balanced Strategy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F2242E7" w:rsidR="00466905" w:rsidRPr="00D902A1" w:rsidRDefault="00D8282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2-20T00:00:00Z">
                                      <w:dateFormat w:val="dd MMMM yyyy"/>
                                      <w:lid w:val="en-GB"/>
                                      <w:storeMappedDataAs w:val="dateTime"/>
                                      <w:calendar w:val="gregorian"/>
                                    </w:date>
                                  </w:sdtPr>
                                  <w:sdtEndPr/>
                                  <w:sdtContent>
                                    <w:r w:rsidR="00B526D8">
                                      <w:rPr>
                                        <w:color w:val="FFFFFF" w:themeColor="background1"/>
                                        <w:sz w:val="26"/>
                                        <w:szCs w:val="26"/>
                                        <w:lang w:val="en-GB"/>
                                      </w:rPr>
                                      <w:t>20 February 2026</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F2242E7" w:rsidR="00466905" w:rsidRPr="00D902A1" w:rsidRDefault="00D8282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2-20T00:00:00Z">
                                <w:dateFormat w:val="dd MMMM yyyy"/>
                                <w:lid w:val="en-GB"/>
                                <w:storeMappedDataAs w:val="dateTime"/>
                                <w:calendar w:val="gregorian"/>
                              </w:date>
                            </w:sdtPr>
                            <w:sdtEndPr/>
                            <w:sdtContent>
                              <w:r w:rsidR="00B526D8">
                                <w:rPr>
                                  <w:color w:val="FFFFFF" w:themeColor="background1"/>
                                  <w:sz w:val="26"/>
                                  <w:szCs w:val="26"/>
                                  <w:lang w:val="en-GB"/>
                                </w:rPr>
                                <w:t>20 February 2026</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0E68E4E"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7A372E">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7A372E" w:rsidRPr="007A372E" w14:paraId="76C3EAD3" w14:textId="77777777" w:rsidTr="00AA442D">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BF2B561" w14:textId="6160FA82" w:rsidR="007A372E" w:rsidRPr="003A1DD5" w:rsidRDefault="00B526D8" w:rsidP="007A372E">
            <w:pPr>
              <w:spacing w:line="256" w:lineRule="auto"/>
              <w:rPr>
                <w:rFonts w:eastAsia="Calibri"/>
                <w:color w:val="000000"/>
                <w:sz w:val="22"/>
                <w:szCs w:val="22"/>
                <w:lang w:val="en-US" w:eastAsia="en-US"/>
              </w:rPr>
            </w:pPr>
            <w:proofErr w:type="spellStart"/>
            <w:r w:rsidRPr="00B526D8">
              <w:rPr>
                <w:lang w:val="en-US"/>
              </w:rPr>
              <w:t>Solactive</w:t>
            </w:r>
            <w:proofErr w:type="spellEnd"/>
            <w:r w:rsidRPr="00B526D8">
              <w:rPr>
                <w:lang w:val="en-US"/>
              </w:rPr>
              <w:t xml:space="preserve"> CWM Balanced Strategy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9252AAB" w14:textId="2C92CA8B" w:rsidR="007A372E" w:rsidRDefault="007A372E" w:rsidP="007A372E">
            <w:pPr>
              <w:spacing w:line="256" w:lineRule="auto"/>
              <w:rPr>
                <w:rFonts w:eastAsia="Calibri"/>
                <w:color w:val="000000"/>
                <w:lang w:val="en-GB" w:eastAsia="en-US"/>
              </w:rPr>
            </w:pPr>
            <w:r w:rsidRPr="004D7D9D">
              <w:t>.</w:t>
            </w:r>
            <w:r w:rsidR="00B526D8" w:rsidRPr="00B526D8">
              <w:t>SOCWMBAL</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1E2D9A3" w14:textId="3DC0D7E4" w:rsidR="007A372E" w:rsidRDefault="00B526D8" w:rsidP="007A372E">
            <w:pPr>
              <w:spacing w:line="256" w:lineRule="auto"/>
              <w:rPr>
                <w:rFonts w:eastAsia="Calibri"/>
                <w:color w:val="000000"/>
                <w:lang w:val="en-GB" w:eastAsia="en-US"/>
              </w:rPr>
            </w:pPr>
            <w:r w:rsidRPr="00B526D8">
              <w:rPr>
                <w:rFonts w:eastAsia="Calibri"/>
                <w:color w:val="000000"/>
                <w:lang w:eastAsia="en-US"/>
              </w:rPr>
              <w:t>DE000SL0KBJ2</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sidRPr="00B526D8">
        <w:rPr>
          <w:b/>
          <w:bCs/>
          <w:sz w:val="28"/>
          <w:szCs w:val="28"/>
          <w:u w:val="single"/>
          <w:lang w:val="en-US"/>
        </w:rPr>
        <w:t xml:space="preserve">the </w:t>
      </w:r>
      <w:r w:rsidR="004D6535" w:rsidRPr="0026131F">
        <w:rPr>
          <w:b/>
          <w:bCs/>
          <w:sz w:val="28"/>
          <w:szCs w:val="28"/>
          <w:u w:val="single"/>
          <w:lang w:val="en-GB"/>
        </w:rPr>
        <w:t>Market Consultation</w:t>
      </w:r>
    </w:p>
    <w:p w14:paraId="28826C4D" w14:textId="77777777" w:rsidR="00B526D8" w:rsidRPr="00B526D8" w:rsidRDefault="00B526D8" w:rsidP="00B526D8">
      <w:pPr>
        <w:spacing w:before="0" w:after="160" w:line="259" w:lineRule="auto"/>
        <w:jc w:val="left"/>
        <w:rPr>
          <w:lang w:val="en-US"/>
        </w:rPr>
      </w:pPr>
      <w:r w:rsidRPr="00B526D8">
        <w:rPr>
          <w:lang w:val="en-US"/>
        </w:rPr>
        <w:t xml:space="preserve">As part of our ongoing review framework and commitment to ensuring that the static baskets remain aligned with the initial scope and the evolving market dynamics and diversification objectives, we have conducted an internal assessment of the current basket composition. </w:t>
      </w:r>
      <w:r w:rsidRPr="00B526D8">
        <w:rPr>
          <w:lang w:val="en-US"/>
        </w:rPr>
        <w:br/>
        <w:t xml:space="preserve">Following this review, we intend to implement a methodology change to add additional instruments into the index’s static basket. The inclusion is designed to further strengthen sector representation, geographic diversification, and thematic exposure within the strategy. </w:t>
      </w:r>
    </w:p>
    <w:p w14:paraId="2E819852" w14:textId="77777777" w:rsidR="00B526D8" w:rsidRPr="00B526D8" w:rsidRDefault="00B526D8" w:rsidP="00B526D8">
      <w:pPr>
        <w:spacing w:before="0" w:after="160" w:line="259" w:lineRule="auto"/>
        <w:jc w:val="left"/>
        <w:rPr>
          <w:lang w:val="en-US"/>
        </w:rPr>
      </w:pPr>
      <w:r w:rsidRPr="00B526D8">
        <w:rPr>
          <w:lang w:val="en-US"/>
        </w:rPr>
        <w:t xml:space="preserve">The following instruments will be added with the respective weights: </w:t>
      </w:r>
    </w:p>
    <w:p w14:paraId="3CBD4D2B" w14:textId="77777777" w:rsidR="00B526D8" w:rsidRPr="00B526D8" w:rsidRDefault="00B526D8" w:rsidP="00B526D8">
      <w:pPr>
        <w:numPr>
          <w:ilvl w:val="0"/>
          <w:numId w:val="22"/>
        </w:numPr>
        <w:spacing w:before="0" w:after="160" w:line="259" w:lineRule="auto"/>
        <w:jc w:val="left"/>
        <w:rPr>
          <w:lang w:val="en-US"/>
        </w:rPr>
      </w:pPr>
      <w:r w:rsidRPr="00B526D8">
        <w:rPr>
          <w:lang w:val="en-US"/>
        </w:rPr>
        <w:t xml:space="preserve">iShares S&amp;P 500 Financials Sector UCITS ETF USD A (IUFS.L | IE00B4JNQZ49) – 2.00% </w:t>
      </w:r>
    </w:p>
    <w:p w14:paraId="45463A1F" w14:textId="77777777" w:rsidR="00B526D8" w:rsidRPr="00B526D8" w:rsidRDefault="00B526D8" w:rsidP="00B526D8">
      <w:pPr>
        <w:numPr>
          <w:ilvl w:val="0"/>
          <w:numId w:val="22"/>
        </w:numPr>
        <w:spacing w:before="0" w:after="160" w:line="259" w:lineRule="auto"/>
        <w:jc w:val="left"/>
        <w:rPr>
          <w:lang w:val="en-US"/>
        </w:rPr>
      </w:pPr>
      <w:r w:rsidRPr="00B526D8">
        <w:rPr>
          <w:lang w:val="en-US"/>
        </w:rPr>
        <w:t xml:space="preserve">iShares S&amp;P 500 Industrials Sector UCITS ETF (IUIS.L | IE00B4LN9N13) – 2.00% </w:t>
      </w:r>
    </w:p>
    <w:p w14:paraId="32308663" w14:textId="77777777" w:rsidR="00B526D8" w:rsidRPr="00B526D8" w:rsidRDefault="00B526D8" w:rsidP="00B526D8">
      <w:pPr>
        <w:numPr>
          <w:ilvl w:val="0"/>
          <w:numId w:val="22"/>
        </w:numPr>
        <w:spacing w:before="0" w:after="160" w:line="259" w:lineRule="auto"/>
        <w:jc w:val="left"/>
        <w:rPr>
          <w:lang w:val="en-US"/>
        </w:rPr>
      </w:pPr>
      <w:r w:rsidRPr="00B526D8">
        <w:rPr>
          <w:lang w:val="en-US"/>
        </w:rPr>
        <w:t xml:space="preserve">Strategy Inc. Class A (MSTR.OQ | US5949724083) – 0.75% </w:t>
      </w:r>
    </w:p>
    <w:p w14:paraId="0AA0569D" w14:textId="77777777" w:rsidR="00B526D8" w:rsidRPr="00B526D8" w:rsidRDefault="00B526D8" w:rsidP="00B526D8">
      <w:pPr>
        <w:numPr>
          <w:ilvl w:val="0"/>
          <w:numId w:val="22"/>
        </w:numPr>
        <w:spacing w:before="0" w:after="160" w:line="259" w:lineRule="auto"/>
        <w:jc w:val="left"/>
        <w:rPr>
          <w:lang w:val="en-US"/>
        </w:rPr>
      </w:pPr>
      <w:r w:rsidRPr="00B526D8">
        <w:rPr>
          <w:lang w:val="en-US"/>
        </w:rPr>
        <w:t>Amundi MSCI China UCITS ETF Acc (LCCN.L | LU1841731745) – 2.00%</w:t>
      </w:r>
    </w:p>
    <w:p w14:paraId="3B49941D" w14:textId="78BF4403" w:rsidR="00B526D8" w:rsidRPr="00B526D8" w:rsidRDefault="00B526D8" w:rsidP="00B526D8">
      <w:pPr>
        <w:spacing w:before="0" w:after="160" w:line="259" w:lineRule="auto"/>
        <w:jc w:val="left"/>
        <w:rPr>
          <w:lang w:val="en-US"/>
        </w:rPr>
      </w:pPr>
      <w:r w:rsidRPr="00B526D8">
        <w:rPr>
          <w:lang w:val="en-US"/>
        </w:rPr>
        <w:t>The weights of the current index members will be proportionally scaled down to accommodate these additions.</w:t>
      </w:r>
    </w:p>
    <w:p w14:paraId="10C3ED29" w14:textId="77777777" w:rsidR="00B526D8" w:rsidRPr="00B526D8" w:rsidRDefault="00B526D8" w:rsidP="00B526D8">
      <w:pPr>
        <w:spacing w:before="0" w:after="160" w:line="259" w:lineRule="auto"/>
        <w:jc w:val="left"/>
        <w:rPr>
          <w:lang w:val="en-US"/>
        </w:rPr>
      </w:pPr>
      <w:r w:rsidRPr="00B526D8">
        <w:rPr>
          <w:lang w:val="en-US"/>
        </w:rPr>
        <w:t>This update improves sector balance by adding Financials and Industrials exposure, introduces a targeted single-stock exposure to digital assets and increases China exposure.</w:t>
      </w:r>
    </w:p>
    <w:p w14:paraId="2BF4DE5A" w14:textId="77777777" w:rsidR="007E47D4" w:rsidRPr="00B526D8" w:rsidRDefault="007E47D4" w:rsidP="00F568D6">
      <w:pPr>
        <w:spacing w:before="0" w:after="160" w:line="259" w:lineRule="auto"/>
        <w:jc w:val="left"/>
        <w:rPr>
          <w:u w:val="single"/>
          <w:lang/>
        </w:rPr>
      </w:pPr>
    </w:p>
    <w:p w14:paraId="2A079CAD" w14:textId="50514DC4"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1E3FA6">
        <w:rPr>
          <w:b/>
          <w:bCs/>
          <w:sz w:val="28"/>
          <w:szCs w:val="28"/>
          <w:u w:val="single"/>
          <w:lang w:val="en-US"/>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199EB929" w14:textId="114568D5" w:rsidR="001A252E" w:rsidRDefault="001A252E" w:rsidP="001A252E">
      <w:pPr>
        <w:spacing w:before="0" w:after="160" w:line="259" w:lineRule="auto"/>
        <w:rPr>
          <w:lang w:val="en-US"/>
        </w:rPr>
      </w:pPr>
      <w:r w:rsidRPr="00AA442D">
        <w:rPr>
          <w:lang w:val="en-US"/>
        </w:rPr>
        <w:t>The following Methodology changes will be implemented in the following points of the Index Guideline 2.2</w:t>
      </w:r>
      <w:r>
        <w:rPr>
          <w:lang w:val="en-US"/>
        </w:rPr>
        <w:t>.</w:t>
      </w:r>
      <w:r w:rsidR="00B526D8">
        <w:rPr>
          <w:lang w:val="en-US"/>
        </w:rPr>
        <w:t xml:space="preserve"> SELECTION OF THE INDEX COMPONENTS</w:t>
      </w:r>
      <w:r w:rsidRPr="00AA442D">
        <w:rPr>
          <w:lang w:val="en-US"/>
        </w:rPr>
        <w:t>:</w:t>
      </w:r>
    </w:p>
    <w:p w14:paraId="6FDFE4AF" w14:textId="77777777" w:rsidR="001A252E" w:rsidRDefault="001A252E" w:rsidP="001A252E">
      <w:pPr>
        <w:spacing w:before="0" w:after="160" w:line="259" w:lineRule="auto"/>
      </w:pPr>
      <w:r w:rsidRPr="001A252E">
        <w:t>From (old version):</w:t>
      </w:r>
    </w:p>
    <w:p w14:paraId="01BF3D68" w14:textId="77777777" w:rsidR="00D82826" w:rsidRPr="001A252E" w:rsidRDefault="00D82826" w:rsidP="001A252E">
      <w:pPr>
        <w:spacing w:before="0" w:after="160" w:line="259" w:lineRule="auto"/>
      </w:pPr>
    </w:p>
    <w:tbl>
      <w:tblPr>
        <w:tblW w:w="9618" w:type="dxa"/>
        <w:tblLook w:val="04A0" w:firstRow="1" w:lastRow="0" w:firstColumn="1" w:lastColumn="0" w:noHBand="0" w:noVBand="1"/>
      </w:tblPr>
      <w:tblGrid>
        <w:gridCol w:w="5099"/>
        <w:gridCol w:w="1081"/>
        <w:gridCol w:w="1711"/>
        <w:gridCol w:w="1727"/>
      </w:tblGrid>
      <w:tr w:rsidR="00D82826" w:rsidRPr="00F02FF9" w14:paraId="035F8D2A" w14:textId="77777777" w:rsidTr="00503337">
        <w:trPr>
          <w:trHeight w:val="348"/>
        </w:trPr>
        <w:tc>
          <w:tcPr>
            <w:tcW w:w="5100" w:type="dxa"/>
            <w:tcBorders>
              <w:top w:val="single" w:sz="8" w:space="0" w:color="auto"/>
              <w:left w:val="single" w:sz="8" w:space="0" w:color="auto"/>
              <w:bottom w:val="single" w:sz="8" w:space="0" w:color="auto"/>
              <w:right w:val="single" w:sz="8" w:space="0" w:color="auto"/>
            </w:tcBorders>
            <w:shd w:val="clear" w:color="000000" w:fill="7DB4FD"/>
            <w:vAlign w:val="center"/>
            <w:hideMark/>
          </w:tcPr>
          <w:p w14:paraId="06B98D39" w14:textId="77777777" w:rsidR="00D82826" w:rsidRPr="00F02FF9" w:rsidRDefault="00D82826" w:rsidP="00503337">
            <w:pPr>
              <w:spacing w:before="0" w:after="0"/>
              <w:jc w:val="left"/>
              <w:rPr>
                <w:rFonts w:cs="Calibri"/>
                <w:b/>
                <w:bCs/>
                <w:color w:val="000000"/>
                <w:sz w:val="22"/>
                <w:szCs w:val="22"/>
                <w:lang w:val="en-US" w:eastAsia="zh-CN"/>
              </w:rPr>
            </w:pPr>
            <w:r w:rsidRPr="00F02FF9">
              <w:rPr>
                <w:rFonts w:cs="Calibri"/>
                <w:b/>
                <w:bCs/>
                <w:color w:val="000000"/>
                <w:sz w:val="22"/>
                <w:szCs w:val="22"/>
                <w:lang w:eastAsia="zh-CN"/>
              </w:rPr>
              <w:lastRenderedPageBreak/>
              <w:t>Name</w:t>
            </w:r>
          </w:p>
        </w:tc>
        <w:tc>
          <w:tcPr>
            <w:tcW w:w="1081" w:type="dxa"/>
            <w:tcBorders>
              <w:top w:val="single" w:sz="8" w:space="0" w:color="auto"/>
              <w:left w:val="nil"/>
              <w:bottom w:val="single" w:sz="8" w:space="0" w:color="auto"/>
              <w:right w:val="single" w:sz="8" w:space="0" w:color="auto"/>
            </w:tcBorders>
            <w:shd w:val="clear" w:color="000000" w:fill="7DB4FD"/>
            <w:vAlign w:val="center"/>
            <w:hideMark/>
          </w:tcPr>
          <w:p w14:paraId="176B6D72" w14:textId="77777777" w:rsidR="00D82826" w:rsidRPr="00F02FF9" w:rsidRDefault="00D82826" w:rsidP="00503337">
            <w:pPr>
              <w:spacing w:before="0" w:after="0"/>
              <w:rPr>
                <w:rFonts w:cs="Calibri"/>
                <w:b/>
                <w:bCs/>
                <w:color w:val="000000"/>
                <w:sz w:val="22"/>
                <w:szCs w:val="22"/>
                <w:lang w:val="en-US" w:eastAsia="zh-CN"/>
              </w:rPr>
            </w:pPr>
            <w:r w:rsidRPr="00F02FF9">
              <w:rPr>
                <w:rFonts w:cs="Calibri"/>
                <w:b/>
                <w:bCs/>
                <w:color w:val="000000"/>
                <w:sz w:val="22"/>
                <w:szCs w:val="22"/>
                <w:lang w:eastAsia="zh-CN"/>
              </w:rPr>
              <w:t>RIC</w:t>
            </w:r>
          </w:p>
        </w:tc>
        <w:tc>
          <w:tcPr>
            <w:tcW w:w="1710" w:type="dxa"/>
            <w:tcBorders>
              <w:top w:val="single" w:sz="8" w:space="0" w:color="auto"/>
              <w:left w:val="nil"/>
              <w:bottom w:val="single" w:sz="8" w:space="0" w:color="auto"/>
              <w:right w:val="single" w:sz="8" w:space="0" w:color="auto"/>
            </w:tcBorders>
            <w:shd w:val="clear" w:color="000000" w:fill="7DB4FD"/>
            <w:vAlign w:val="center"/>
            <w:hideMark/>
          </w:tcPr>
          <w:p w14:paraId="0F526890" w14:textId="77777777" w:rsidR="00D82826" w:rsidRPr="00F02FF9" w:rsidRDefault="00D82826" w:rsidP="00503337">
            <w:pPr>
              <w:spacing w:before="0" w:after="0"/>
              <w:rPr>
                <w:rFonts w:cs="Calibri"/>
                <w:b/>
                <w:bCs/>
                <w:color w:val="000000"/>
                <w:sz w:val="22"/>
                <w:szCs w:val="22"/>
                <w:lang w:val="en-US" w:eastAsia="zh-CN"/>
              </w:rPr>
            </w:pPr>
            <w:r w:rsidRPr="00F02FF9">
              <w:rPr>
                <w:rFonts w:cs="Calibri"/>
                <w:b/>
                <w:bCs/>
                <w:color w:val="000000"/>
                <w:sz w:val="22"/>
                <w:szCs w:val="22"/>
                <w:lang w:eastAsia="zh-CN"/>
              </w:rPr>
              <w:t>ISIN</w:t>
            </w:r>
          </w:p>
        </w:tc>
        <w:tc>
          <w:tcPr>
            <w:tcW w:w="1727" w:type="dxa"/>
            <w:tcBorders>
              <w:top w:val="single" w:sz="8" w:space="0" w:color="auto"/>
              <w:left w:val="nil"/>
              <w:bottom w:val="single" w:sz="8" w:space="0" w:color="auto"/>
              <w:right w:val="single" w:sz="8" w:space="0" w:color="auto"/>
            </w:tcBorders>
            <w:shd w:val="clear" w:color="000000" w:fill="91BFFD"/>
            <w:vAlign w:val="center"/>
            <w:hideMark/>
          </w:tcPr>
          <w:p w14:paraId="67820DFD" w14:textId="77777777" w:rsidR="00D82826" w:rsidRPr="00F02FF9" w:rsidRDefault="00D82826" w:rsidP="00503337">
            <w:pPr>
              <w:spacing w:before="0" w:after="0"/>
              <w:rPr>
                <w:rFonts w:cs="Calibri"/>
                <w:b/>
                <w:bCs/>
                <w:color w:val="000000"/>
                <w:sz w:val="22"/>
                <w:szCs w:val="22"/>
                <w:lang w:val="en-US" w:eastAsia="zh-CN"/>
              </w:rPr>
            </w:pPr>
            <w:r w:rsidRPr="00F02FF9">
              <w:rPr>
                <w:rFonts w:cs="Calibri"/>
                <w:b/>
                <w:bCs/>
                <w:color w:val="000000"/>
                <w:sz w:val="22"/>
                <w:szCs w:val="22"/>
                <w:lang w:eastAsia="zh-CN"/>
              </w:rPr>
              <w:t>Weight</w:t>
            </w:r>
          </w:p>
        </w:tc>
      </w:tr>
      <w:tr w:rsidR="00D82826" w:rsidRPr="00F02FF9" w14:paraId="165AAF45"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03B7271A"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USD TRSRY 1-3Y USD A</w:t>
            </w:r>
          </w:p>
        </w:tc>
        <w:tc>
          <w:tcPr>
            <w:tcW w:w="1081" w:type="dxa"/>
            <w:tcBorders>
              <w:top w:val="nil"/>
              <w:left w:val="nil"/>
              <w:bottom w:val="single" w:sz="8" w:space="0" w:color="auto"/>
              <w:right w:val="single" w:sz="8" w:space="0" w:color="auto"/>
            </w:tcBorders>
            <w:noWrap/>
            <w:vAlign w:val="center"/>
            <w:hideMark/>
          </w:tcPr>
          <w:p w14:paraId="2463D5AE"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IBTA.L</w:t>
            </w:r>
          </w:p>
        </w:tc>
        <w:tc>
          <w:tcPr>
            <w:tcW w:w="1710" w:type="dxa"/>
            <w:tcBorders>
              <w:top w:val="nil"/>
              <w:left w:val="nil"/>
              <w:bottom w:val="single" w:sz="8" w:space="0" w:color="auto"/>
              <w:right w:val="single" w:sz="8" w:space="0" w:color="auto"/>
            </w:tcBorders>
            <w:noWrap/>
            <w:vAlign w:val="center"/>
            <w:hideMark/>
          </w:tcPr>
          <w:p w14:paraId="250947C2"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IE00BYXPSP02</w:t>
            </w:r>
          </w:p>
        </w:tc>
        <w:tc>
          <w:tcPr>
            <w:tcW w:w="1727" w:type="dxa"/>
            <w:tcBorders>
              <w:top w:val="nil"/>
              <w:left w:val="nil"/>
              <w:bottom w:val="single" w:sz="8" w:space="0" w:color="auto"/>
              <w:right w:val="single" w:sz="8" w:space="0" w:color="auto"/>
            </w:tcBorders>
            <w:noWrap/>
            <w:vAlign w:val="bottom"/>
            <w:hideMark/>
          </w:tcPr>
          <w:p w14:paraId="7012A541"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13.16868%</w:t>
            </w:r>
          </w:p>
        </w:tc>
      </w:tr>
      <w:tr w:rsidR="00D82826" w:rsidRPr="00F02FF9" w14:paraId="43C8912C"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300298E6"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VANUSDCORP13YR/d</w:t>
            </w:r>
          </w:p>
        </w:tc>
        <w:tc>
          <w:tcPr>
            <w:tcW w:w="1081" w:type="dxa"/>
            <w:tcBorders>
              <w:top w:val="nil"/>
              <w:left w:val="nil"/>
              <w:bottom w:val="single" w:sz="8" w:space="0" w:color="auto"/>
              <w:right w:val="single" w:sz="8" w:space="0" w:color="auto"/>
            </w:tcBorders>
            <w:noWrap/>
            <w:vAlign w:val="center"/>
            <w:hideMark/>
          </w:tcPr>
          <w:p w14:paraId="6EB0772F"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VDCA.L</w:t>
            </w:r>
          </w:p>
        </w:tc>
        <w:tc>
          <w:tcPr>
            <w:tcW w:w="1710" w:type="dxa"/>
            <w:tcBorders>
              <w:top w:val="nil"/>
              <w:left w:val="nil"/>
              <w:bottom w:val="single" w:sz="8" w:space="0" w:color="auto"/>
              <w:right w:val="single" w:sz="8" w:space="0" w:color="auto"/>
            </w:tcBorders>
            <w:noWrap/>
            <w:vAlign w:val="center"/>
            <w:hideMark/>
          </w:tcPr>
          <w:p w14:paraId="02D938CB"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IE00BGYWSV06</w:t>
            </w:r>
          </w:p>
        </w:tc>
        <w:tc>
          <w:tcPr>
            <w:tcW w:w="1727" w:type="dxa"/>
            <w:tcBorders>
              <w:top w:val="nil"/>
              <w:left w:val="nil"/>
              <w:bottom w:val="single" w:sz="8" w:space="0" w:color="auto"/>
              <w:right w:val="single" w:sz="8" w:space="0" w:color="auto"/>
            </w:tcBorders>
            <w:noWrap/>
            <w:vAlign w:val="bottom"/>
            <w:hideMark/>
          </w:tcPr>
          <w:p w14:paraId="62647AD1"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10.08899%</w:t>
            </w:r>
          </w:p>
        </w:tc>
      </w:tr>
      <w:tr w:rsidR="00D82826" w:rsidRPr="00F02FF9" w14:paraId="4D9C16B8"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00762F63"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USD HY CORP USD ACC</w:t>
            </w:r>
          </w:p>
        </w:tc>
        <w:tc>
          <w:tcPr>
            <w:tcW w:w="1081" w:type="dxa"/>
            <w:tcBorders>
              <w:top w:val="nil"/>
              <w:left w:val="nil"/>
              <w:bottom w:val="single" w:sz="8" w:space="0" w:color="auto"/>
              <w:right w:val="single" w:sz="8" w:space="0" w:color="auto"/>
            </w:tcBorders>
            <w:noWrap/>
            <w:vAlign w:val="center"/>
            <w:hideMark/>
          </w:tcPr>
          <w:p w14:paraId="510499BE"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IHYA.L</w:t>
            </w:r>
          </w:p>
        </w:tc>
        <w:tc>
          <w:tcPr>
            <w:tcW w:w="1710" w:type="dxa"/>
            <w:tcBorders>
              <w:top w:val="nil"/>
              <w:left w:val="nil"/>
              <w:bottom w:val="single" w:sz="8" w:space="0" w:color="auto"/>
              <w:right w:val="single" w:sz="8" w:space="0" w:color="auto"/>
            </w:tcBorders>
            <w:noWrap/>
            <w:vAlign w:val="center"/>
            <w:hideMark/>
          </w:tcPr>
          <w:p w14:paraId="388AF161"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IE00BYXYYL56</w:t>
            </w:r>
          </w:p>
        </w:tc>
        <w:tc>
          <w:tcPr>
            <w:tcW w:w="1727" w:type="dxa"/>
            <w:tcBorders>
              <w:top w:val="nil"/>
              <w:left w:val="nil"/>
              <w:bottom w:val="single" w:sz="8" w:space="0" w:color="auto"/>
              <w:right w:val="single" w:sz="8" w:space="0" w:color="auto"/>
            </w:tcBorders>
            <w:noWrap/>
            <w:vAlign w:val="bottom"/>
            <w:hideMark/>
          </w:tcPr>
          <w:p w14:paraId="455AF5FF"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6.37936%</w:t>
            </w:r>
          </w:p>
        </w:tc>
      </w:tr>
      <w:tr w:rsidR="00D82826" w:rsidRPr="00F02FF9" w14:paraId="68D6704A"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78207DF0"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US AGG BND USD ACC</w:t>
            </w:r>
          </w:p>
        </w:tc>
        <w:tc>
          <w:tcPr>
            <w:tcW w:w="1081" w:type="dxa"/>
            <w:tcBorders>
              <w:top w:val="nil"/>
              <w:left w:val="nil"/>
              <w:bottom w:val="single" w:sz="8" w:space="0" w:color="auto"/>
              <w:right w:val="single" w:sz="8" w:space="0" w:color="auto"/>
            </w:tcBorders>
            <w:noWrap/>
            <w:vAlign w:val="center"/>
            <w:hideMark/>
          </w:tcPr>
          <w:p w14:paraId="118C4C03"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IUAA.L</w:t>
            </w:r>
          </w:p>
        </w:tc>
        <w:tc>
          <w:tcPr>
            <w:tcW w:w="1710" w:type="dxa"/>
            <w:tcBorders>
              <w:top w:val="nil"/>
              <w:left w:val="nil"/>
              <w:bottom w:val="single" w:sz="8" w:space="0" w:color="auto"/>
              <w:right w:val="single" w:sz="8" w:space="0" w:color="auto"/>
            </w:tcBorders>
            <w:noWrap/>
            <w:vAlign w:val="center"/>
            <w:hideMark/>
          </w:tcPr>
          <w:p w14:paraId="4E4CD140"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IE00BYXYYM63</w:t>
            </w:r>
          </w:p>
        </w:tc>
        <w:tc>
          <w:tcPr>
            <w:tcW w:w="1727" w:type="dxa"/>
            <w:tcBorders>
              <w:top w:val="nil"/>
              <w:left w:val="nil"/>
              <w:bottom w:val="single" w:sz="8" w:space="0" w:color="auto"/>
              <w:right w:val="single" w:sz="8" w:space="0" w:color="auto"/>
            </w:tcBorders>
            <w:noWrap/>
            <w:vAlign w:val="bottom"/>
            <w:hideMark/>
          </w:tcPr>
          <w:p w14:paraId="74046CFF"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5.20948%</w:t>
            </w:r>
          </w:p>
        </w:tc>
      </w:tr>
      <w:tr w:rsidR="00D82826" w:rsidRPr="00F02FF9" w14:paraId="76681E98"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059EB841"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USD TIPS</w:t>
            </w:r>
          </w:p>
        </w:tc>
        <w:tc>
          <w:tcPr>
            <w:tcW w:w="1081" w:type="dxa"/>
            <w:tcBorders>
              <w:top w:val="nil"/>
              <w:left w:val="nil"/>
              <w:bottom w:val="single" w:sz="8" w:space="0" w:color="auto"/>
              <w:right w:val="single" w:sz="8" w:space="0" w:color="auto"/>
            </w:tcBorders>
            <w:noWrap/>
            <w:vAlign w:val="center"/>
            <w:hideMark/>
          </w:tcPr>
          <w:p w14:paraId="350F4246"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IDTP.L</w:t>
            </w:r>
          </w:p>
        </w:tc>
        <w:tc>
          <w:tcPr>
            <w:tcW w:w="1710" w:type="dxa"/>
            <w:tcBorders>
              <w:top w:val="nil"/>
              <w:left w:val="nil"/>
              <w:bottom w:val="single" w:sz="8" w:space="0" w:color="auto"/>
              <w:right w:val="single" w:sz="8" w:space="0" w:color="auto"/>
            </w:tcBorders>
            <w:noWrap/>
            <w:vAlign w:val="center"/>
            <w:hideMark/>
          </w:tcPr>
          <w:p w14:paraId="256E34CC"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IE00B1FZSC47</w:t>
            </w:r>
          </w:p>
        </w:tc>
        <w:tc>
          <w:tcPr>
            <w:tcW w:w="1727" w:type="dxa"/>
            <w:tcBorders>
              <w:top w:val="nil"/>
              <w:left w:val="nil"/>
              <w:bottom w:val="single" w:sz="8" w:space="0" w:color="auto"/>
              <w:right w:val="single" w:sz="8" w:space="0" w:color="auto"/>
            </w:tcBorders>
            <w:noWrap/>
            <w:vAlign w:val="bottom"/>
            <w:hideMark/>
          </w:tcPr>
          <w:p w14:paraId="0FEC46E3"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2.57974%</w:t>
            </w:r>
          </w:p>
        </w:tc>
      </w:tr>
      <w:tr w:rsidR="00D82826" w:rsidRPr="00F02FF9" w14:paraId="3B523407"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136AACE6"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CORP BOND UCITS ETF USD</w:t>
            </w:r>
          </w:p>
        </w:tc>
        <w:tc>
          <w:tcPr>
            <w:tcW w:w="1081" w:type="dxa"/>
            <w:tcBorders>
              <w:top w:val="nil"/>
              <w:left w:val="nil"/>
              <w:bottom w:val="single" w:sz="8" w:space="0" w:color="auto"/>
              <w:right w:val="single" w:sz="8" w:space="0" w:color="auto"/>
            </w:tcBorders>
            <w:noWrap/>
            <w:vAlign w:val="center"/>
            <w:hideMark/>
          </w:tcPr>
          <w:p w14:paraId="7E77BACF"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ISLQDA.L</w:t>
            </w:r>
          </w:p>
        </w:tc>
        <w:tc>
          <w:tcPr>
            <w:tcW w:w="1710" w:type="dxa"/>
            <w:tcBorders>
              <w:top w:val="nil"/>
              <w:left w:val="nil"/>
              <w:bottom w:val="single" w:sz="8" w:space="0" w:color="auto"/>
              <w:right w:val="single" w:sz="8" w:space="0" w:color="auto"/>
            </w:tcBorders>
            <w:noWrap/>
            <w:vAlign w:val="center"/>
            <w:hideMark/>
          </w:tcPr>
          <w:p w14:paraId="52468D6F"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IE00BYXYYJ35</w:t>
            </w:r>
          </w:p>
        </w:tc>
        <w:tc>
          <w:tcPr>
            <w:tcW w:w="1727" w:type="dxa"/>
            <w:tcBorders>
              <w:top w:val="nil"/>
              <w:left w:val="nil"/>
              <w:bottom w:val="single" w:sz="8" w:space="0" w:color="auto"/>
              <w:right w:val="single" w:sz="8" w:space="0" w:color="auto"/>
            </w:tcBorders>
            <w:noWrap/>
            <w:vAlign w:val="bottom"/>
            <w:hideMark/>
          </w:tcPr>
          <w:p w14:paraId="77ACCD70"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2.57974%</w:t>
            </w:r>
          </w:p>
        </w:tc>
      </w:tr>
      <w:tr w:rsidR="00D82826" w:rsidRPr="00F02FF9" w14:paraId="1939BA22"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5BA2D193"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VANUSDEMKTGOVB/d</w:t>
            </w:r>
          </w:p>
        </w:tc>
        <w:tc>
          <w:tcPr>
            <w:tcW w:w="1081" w:type="dxa"/>
            <w:tcBorders>
              <w:top w:val="nil"/>
              <w:left w:val="nil"/>
              <w:bottom w:val="single" w:sz="8" w:space="0" w:color="auto"/>
              <w:right w:val="single" w:sz="8" w:space="0" w:color="auto"/>
            </w:tcBorders>
            <w:noWrap/>
            <w:vAlign w:val="center"/>
            <w:hideMark/>
          </w:tcPr>
          <w:p w14:paraId="104ED6DD" w14:textId="77777777" w:rsidR="00D82826" w:rsidRPr="00F02FF9" w:rsidRDefault="00D82826" w:rsidP="00503337">
            <w:pPr>
              <w:spacing w:before="0" w:after="0"/>
              <w:rPr>
                <w:rFonts w:cs="Calibri"/>
                <w:color w:val="000000"/>
                <w:lang w:val="en-US" w:eastAsia="zh-CN"/>
              </w:rPr>
            </w:pPr>
            <w:r w:rsidRPr="00C93C48">
              <w:rPr>
                <w:rFonts w:cs="Calibri"/>
                <w:color w:val="000000"/>
                <w:lang w:val="en-US" w:eastAsia="zh-CN"/>
              </w:rPr>
              <w:t>VDEA.L</w:t>
            </w:r>
          </w:p>
        </w:tc>
        <w:tc>
          <w:tcPr>
            <w:tcW w:w="1710" w:type="dxa"/>
            <w:tcBorders>
              <w:top w:val="nil"/>
              <w:left w:val="nil"/>
              <w:bottom w:val="single" w:sz="8" w:space="0" w:color="auto"/>
              <w:right w:val="single" w:sz="8" w:space="0" w:color="auto"/>
            </w:tcBorders>
            <w:noWrap/>
            <w:vAlign w:val="center"/>
            <w:hideMark/>
          </w:tcPr>
          <w:p w14:paraId="3B958353"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IE00BGYWCB81</w:t>
            </w:r>
          </w:p>
        </w:tc>
        <w:tc>
          <w:tcPr>
            <w:tcW w:w="1727" w:type="dxa"/>
            <w:tcBorders>
              <w:top w:val="nil"/>
              <w:left w:val="nil"/>
              <w:bottom w:val="single" w:sz="8" w:space="0" w:color="auto"/>
              <w:right w:val="single" w:sz="8" w:space="0" w:color="auto"/>
            </w:tcBorders>
            <w:noWrap/>
            <w:vAlign w:val="bottom"/>
            <w:hideMark/>
          </w:tcPr>
          <w:p w14:paraId="71DBD2FA"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4.16958%</w:t>
            </w:r>
          </w:p>
        </w:tc>
      </w:tr>
      <w:tr w:rsidR="00D82826" w:rsidRPr="00F02FF9" w14:paraId="5B88DB89"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56A660D3"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CORE S&amp;P 500 UCITS ETF</w:t>
            </w:r>
          </w:p>
        </w:tc>
        <w:tc>
          <w:tcPr>
            <w:tcW w:w="1081" w:type="dxa"/>
            <w:tcBorders>
              <w:top w:val="nil"/>
              <w:left w:val="nil"/>
              <w:bottom w:val="single" w:sz="8" w:space="0" w:color="auto"/>
              <w:right w:val="single" w:sz="8" w:space="0" w:color="auto"/>
            </w:tcBorders>
            <w:noWrap/>
            <w:vAlign w:val="center"/>
            <w:hideMark/>
          </w:tcPr>
          <w:p w14:paraId="47DD5A84"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CSPX.L</w:t>
            </w:r>
          </w:p>
        </w:tc>
        <w:tc>
          <w:tcPr>
            <w:tcW w:w="1710" w:type="dxa"/>
            <w:tcBorders>
              <w:top w:val="nil"/>
              <w:left w:val="nil"/>
              <w:bottom w:val="single" w:sz="8" w:space="0" w:color="auto"/>
              <w:right w:val="single" w:sz="8" w:space="0" w:color="auto"/>
            </w:tcBorders>
            <w:noWrap/>
            <w:vAlign w:val="center"/>
            <w:hideMark/>
          </w:tcPr>
          <w:p w14:paraId="11E647F5"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IE00B5BMR087</w:t>
            </w:r>
          </w:p>
        </w:tc>
        <w:tc>
          <w:tcPr>
            <w:tcW w:w="1727" w:type="dxa"/>
            <w:tcBorders>
              <w:top w:val="nil"/>
              <w:left w:val="nil"/>
              <w:bottom w:val="single" w:sz="8" w:space="0" w:color="auto"/>
              <w:right w:val="single" w:sz="8" w:space="0" w:color="auto"/>
            </w:tcBorders>
            <w:noWrap/>
            <w:vAlign w:val="bottom"/>
            <w:hideMark/>
          </w:tcPr>
          <w:p w14:paraId="4A6338DA"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18.71813%</w:t>
            </w:r>
          </w:p>
        </w:tc>
      </w:tr>
      <w:tr w:rsidR="00D82826" w:rsidRPr="00F02FF9" w14:paraId="7A83F834"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2C5AF688" w14:textId="77777777" w:rsidR="00D82826" w:rsidRPr="001B1B14" w:rsidRDefault="00D82826" w:rsidP="00503337">
            <w:pPr>
              <w:spacing w:before="0" w:after="0"/>
              <w:rPr>
                <w:rFonts w:cs="Calibri"/>
                <w:color w:val="000000"/>
                <w:lang w:val="fr-CA" w:eastAsia="zh-CN"/>
              </w:rPr>
            </w:pPr>
            <w:r w:rsidRPr="00012C47">
              <w:rPr>
                <w:rFonts w:cs="Calibri"/>
                <w:color w:val="000000"/>
                <w:lang w:val="fr-CA" w:eastAsia="zh-CN"/>
              </w:rPr>
              <w:t>ISHARES MSCI USA UCITS ETF</w:t>
            </w:r>
          </w:p>
        </w:tc>
        <w:tc>
          <w:tcPr>
            <w:tcW w:w="1081" w:type="dxa"/>
            <w:tcBorders>
              <w:top w:val="nil"/>
              <w:left w:val="nil"/>
              <w:bottom w:val="single" w:sz="8" w:space="0" w:color="auto"/>
              <w:right w:val="single" w:sz="8" w:space="0" w:color="auto"/>
            </w:tcBorders>
            <w:noWrap/>
            <w:vAlign w:val="center"/>
            <w:hideMark/>
          </w:tcPr>
          <w:p w14:paraId="38B07821"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CSUS.</w:t>
            </w:r>
            <w:r>
              <w:rPr>
                <w:rFonts w:cs="Calibri"/>
                <w:color w:val="000000"/>
                <w:lang w:val="en-US" w:eastAsia="zh-CN"/>
              </w:rPr>
              <w:t>L</w:t>
            </w:r>
          </w:p>
        </w:tc>
        <w:tc>
          <w:tcPr>
            <w:tcW w:w="1710" w:type="dxa"/>
            <w:tcBorders>
              <w:top w:val="nil"/>
              <w:left w:val="nil"/>
              <w:bottom w:val="single" w:sz="8" w:space="0" w:color="auto"/>
              <w:right w:val="single" w:sz="8" w:space="0" w:color="auto"/>
            </w:tcBorders>
            <w:noWrap/>
            <w:vAlign w:val="center"/>
            <w:hideMark/>
          </w:tcPr>
          <w:p w14:paraId="64FD50B8"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IE00B52SFT06</w:t>
            </w:r>
          </w:p>
        </w:tc>
        <w:tc>
          <w:tcPr>
            <w:tcW w:w="1727" w:type="dxa"/>
            <w:tcBorders>
              <w:top w:val="nil"/>
              <w:left w:val="nil"/>
              <w:bottom w:val="single" w:sz="8" w:space="0" w:color="auto"/>
              <w:right w:val="single" w:sz="8" w:space="0" w:color="auto"/>
            </w:tcBorders>
            <w:noWrap/>
            <w:vAlign w:val="bottom"/>
            <w:hideMark/>
          </w:tcPr>
          <w:p w14:paraId="650E8EAA"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4.81952%</w:t>
            </w:r>
          </w:p>
        </w:tc>
      </w:tr>
      <w:tr w:rsidR="00D82826" w:rsidRPr="00F02FF9" w14:paraId="7136DA9B"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33D5EB09" w14:textId="77777777" w:rsidR="00D82826" w:rsidRPr="00F02FF9" w:rsidRDefault="00D82826" w:rsidP="00503337">
            <w:pPr>
              <w:spacing w:before="0" w:after="0"/>
              <w:rPr>
                <w:rFonts w:cs="Calibri"/>
                <w:color w:val="000000"/>
                <w:lang w:val="en-US" w:eastAsia="zh-CN"/>
              </w:rPr>
            </w:pPr>
            <w:r w:rsidRPr="00012C47">
              <w:rPr>
                <w:rFonts w:cs="Calibri"/>
                <w:color w:val="000000"/>
                <w:lang w:val="en-US" w:eastAsia="zh-CN"/>
              </w:rPr>
              <w:t>ISHARES MSCI USA SMALL CAP UCITS ETF</w:t>
            </w:r>
          </w:p>
        </w:tc>
        <w:tc>
          <w:tcPr>
            <w:tcW w:w="1081" w:type="dxa"/>
            <w:tcBorders>
              <w:top w:val="nil"/>
              <w:left w:val="nil"/>
              <w:bottom w:val="single" w:sz="8" w:space="0" w:color="auto"/>
              <w:right w:val="single" w:sz="8" w:space="0" w:color="auto"/>
            </w:tcBorders>
            <w:noWrap/>
            <w:vAlign w:val="center"/>
            <w:hideMark/>
          </w:tcPr>
          <w:p w14:paraId="30A693C2"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CUSS.</w:t>
            </w:r>
            <w:r>
              <w:rPr>
                <w:rFonts w:cs="Calibri"/>
                <w:color w:val="000000"/>
                <w:lang w:val="en-US" w:eastAsia="zh-CN"/>
              </w:rPr>
              <w:t>L</w:t>
            </w:r>
          </w:p>
        </w:tc>
        <w:tc>
          <w:tcPr>
            <w:tcW w:w="1710" w:type="dxa"/>
            <w:tcBorders>
              <w:top w:val="nil"/>
              <w:left w:val="nil"/>
              <w:bottom w:val="single" w:sz="8" w:space="0" w:color="auto"/>
              <w:right w:val="single" w:sz="8" w:space="0" w:color="auto"/>
            </w:tcBorders>
            <w:noWrap/>
            <w:vAlign w:val="center"/>
            <w:hideMark/>
          </w:tcPr>
          <w:p w14:paraId="017F4B01"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IE00B3VWM098</w:t>
            </w:r>
          </w:p>
        </w:tc>
        <w:tc>
          <w:tcPr>
            <w:tcW w:w="1727" w:type="dxa"/>
            <w:tcBorders>
              <w:top w:val="nil"/>
              <w:left w:val="nil"/>
              <w:bottom w:val="single" w:sz="8" w:space="0" w:color="auto"/>
              <w:right w:val="single" w:sz="8" w:space="0" w:color="auto"/>
            </w:tcBorders>
            <w:noWrap/>
            <w:vAlign w:val="bottom"/>
            <w:hideMark/>
          </w:tcPr>
          <w:p w14:paraId="0B6D0A75"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5.63944%</w:t>
            </w:r>
          </w:p>
        </w:tc>
      </w:tr>
      <w:tr w:rsidR="00D82826" w:rsidRPr="00F02FF9" w14:paraId="182FA309"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606D692D"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CORE MSCI JAPAN</w:t>
            </w:r>
          </w:p>
        </w:tc>
        <w:tc>
          <w:tcPr>
            <w:tcW w:w="1081" w:type="dxa"/>
            <w:tcBorders>
              <w:top w:val="nil"/>
              <w:left w:val="nil"/>
              <w:bottom w:val="single" w:sz="8" w:space="0" w:color="auto"/>
              <w:right w:val="single" w:sz="8" w:space="0" w:color="auto"/>
            </w:tcBorders>
            <w:noWrap/>
            <w:vAlign w:val="center"/>
            <w:hideMark/>
          </w:tcPr>
          <w:p w14:paraId="6068C521"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ISIJPA.L</w:t>
            </w:r>
          </w:p>
        </w:tc>
        <w:tc>
          <w:tcPr>
            <w:tcW w:w="1710" w:type="dxa"/>
            <w:tcBorders>
              <w:top w:val="nil"/>
              <w:left w:val="nil"/>
              <w:bottom w:val="single" w:sz="8" w:space="0" w:color="auto"/>
              <w:right w:val="single" w:sz="8" w:space="0" w:color="auto"/>
            </w:tcBorders>
            <w:noWrap/>
            <w:vAlign w:val="center"/>
            <w:hideMark/>
          </w:tcPr>
          <w:p w14:paraId="2E5F5E67"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IE00B4L5YX21</w:t>
            </w:r>
          </w:p>
        </w:tc>
        <w:tc>
          <w:tcPr>
            <w:tcW w:w="1727" w:type="dxa"/>
            <w:tcBorders>
              <w:top w:val="nil"/>
              <w:left w:val="nil"/>
              <w:bottom w:val="single" w:sz="8" w:space="0" w:color="auto"/>
              <w:right w:val="single" w:sz="8" w:space="0" w:color="auto"/>
            </w:tcBorders>
            <w:noWrap/>
            <w:vAlign w:val="bottom"/>
            <w:hideMark/>
          </w:tcPr>
          <w:p w14:paraId="1BB55FF9"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2.62974%</w:t>
            </w:r>
          </w:p>
        </w:tc>
      </w:tr>
      <w:tr w:rsidR="00D82826" w:rsidRPr="00F02FF9" w14:paraId="1BB1662F"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768E3FFF"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S&amp;P HEALTH CARE</w:t>
            </w:r>
          </w:p>
        </w:tc>
        <w:tc>
          <w:tcPr>
            <w:tcW w:w="1081" w:type="dxa"/>
            <w:tcBorders>
              <w:top w:val="nil"/>
              <w:left w:val="nil"/>
              <w:bottom w:val="single" w:sz="8" w:space="0" w:color="auto"/>
              <w:right w:val="single" w:sz="8" w:space="0" w:color="auto"/>
            </w:tcBorders>
            <w:noWrap/>
            <w:vAlign w:val="center"/>
            <w:hideMark/>
          </w:tcPr>
          <w:p w14:paraId="4A3A0E86"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IUHC.L</w:t>
            </w:r>
          </w:p>
        </w:tc>
        <w:tc>
          <w:tcPr>
            <w:tcW w:w="1710" w:type="dxa"/>
            <w:tcBorders>
              <w:top w:val="nil"/>
              <w:left w:val="nil"/>
              <w:bottom w:val="single" w:sz="8" w:space="0" w:color="auto"/>
              <w:right w:val="single" w:sz="8" w:space="0" w:color="auto"/>
            </w:tcBorders>
            <w:noWrap/>
            <w:vAlign w:val="center"/>
            <w:hideMark/>
          </w:tcPr>
          <w:p w14:paraId="304C124F"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IE00B43HR379</w:t>
            </w:r>
          </w:p>
        </w:tc>
        <w:tc>
          <w:tcPr>
            <w:tcW w:w="1727" w:type="dxa"/>
            <w:tcBorders>
              <w:top w:val="nil"/>
              <w:left w:val="nil"/>
              <w:bottom w:val="single" w:sz="8" w:space="0" w:color="auto"/>
              <w:right w:val="single" w:sz="8" w:space="0" w:color="auto"/>
            </w:tcBorders>
            <w:noWrap/>
            <w:vAlign w:val="bottom"/>
            <w:hideMark/>
          </w:tcPr>
          <w:p w14:paraId="71671C31"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4.64954%</w:t>
            </w:r>
          </w:p>
        </w:tc>
      </w:tr>
      <w:tr w:rsidR="00D82826" w:rsidRPr="00F02FF9" w14:paraId="4EF6B889"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7FA9DF94"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ISHARES S&amp;P 500 INF TECH SECTOR UCITS ETF USD(ACC)</w:t>
            </w:r>
          </w:p>
        </w:tc>
        <w:tc>
          <w:tcPr>
            <w:tcW w:w="1081" w:type="dxa"/>
            <w:tcBorders>
              <w:top w:val="nil"/>
              <w:left w:val="nil"/>
              <w:bottom w:val="single" w:sz="8" w:space="0" w:color="auto"/>
              <w:right w:val="single" w:sz="8" w:space="0" w:color="auto"/>
            </w:tcBorders>
            <w:noWrap/>
            <w:vAlign w:val="center"/>
            <w:hideMark/>
          </w:tcPr>
          <w:p w14:paraId="32F32E0C"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IUIT.L</w:t>
            </w:r>
          </w:p>
        </w:tc>
        <w:tc>
          <w:tcPr>
            <w:tcW w:w="1710" w:type="dxa"/>
            <w:tcBorders>
              <w:top w:val="nil"/>
              <w:left w:val="nil"/>
              <w:bottom w:val="single" w:sz="8" w:space="0" w:color="auto"/>
              <w:right w:val="single" w:sz="8" w:space="0" w:color="auto"/>
            </w:tcBorders>
            <w:noWrap/>
            <w:vAlign w:val="center"/>
            <w:hideMark/>
          </w:tcPr>
          <w:p w14:paraId="363A50CF"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IE00B3WJKG14</w:t>
            </w:r>
          </w:p>
        </w:tc>
        <w:tc>
          <w:tcPr>
            <w:tcW w:w="1727" w:type="dxa"/>
            <w:tcBorders>
              <w:top w:val="nil"/>
              <w:left w:val="nil"/>
              <w:bottom w:val="single" w:sz="8" w:space="0" w:color="auto"/>
              <w:right w:val="single" w:sz="8" w:space="0" w:color="auto"/>
            </w:tcBorders>
            <w:noWrap/>
            <w:vAlign w:val="bottom"/>
            <w:hideMark/>
          </w:tcPr>
          <w:p w14:paraId="763AF5DB"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9.71903%</w:t>
            </w:r>
          </w:p>
        </w:tc>
      </w:tr>
      <w:tr w:rsidR="00D82826" w:rsidRPr="00F02FF9" w14:paraId="08FFA5CD"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6A1241D9"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VANFTSEDVAPACX/d</w:t>
            </w:r>
          </w:p>
        </w:tc>
        <w:tc>
          <w:tcPr>
            <w:tcW w:w="1081" w:type="dxa"/>
            <w:tcBorders>
              <w:top w:val="nil"/>
              <w:left w:val="nil"/>
              <w:bottom w:val="single" w:sz="8" w:space="0" w:color="auto"/>
              <w:right w:val="single" w:sz="8" w:space="0" w:color="auto"/>
            </w:tcBorders>
            <w:noWrap/>
            <w:vAlign w:val="center"/>
            <w:hideMark/>
          </w:tcPr>
          <w:p w14:paraId="5975191E"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VAPU.L</w:t>
            </w:r>
          </w:p>
        </w:tc>
        <w:tc>
          <w:tcPr>
            <w:tcW w:w="1710" w:type="dxa"/>
            <w:tcBorders>
              <w:top w:val="nil"/>
              <w:left w:val="nil"/>
              <w:bottom w:val="single" w:sz="8" w:space="0" w:color="auto"/>
              <w:right w:val="single" w:sz="8" w:space="0" w:color="auto"/>
            </w:tcBorders>
            <w:noWrap/>
            <w:vAlign w:val="center"/>
            <w:hideMark/>
          </w:tcPr>
          <w:p w14:paraId="7C517454"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IE00BK5BQZ41</w:t>
            </w:r>
          </w:p>
        </w:tc>
        <w:tc>
          <w:tcPr>
            <w:tcW w:w="1727" w:type="dxa"/>
            <w:tcBorders>
              <w:top w:val="nil"/>
              <w:left w:val="nil"/>
              <w:bottom w:val="single" w:sz="8" w:space="0" w:color="auto"/>
              <w:right w:val="single" w:sz="8" w:space="0" w:color="auto"/>
            </w:tcBorders>
            <w:noWrap/>
            <w:vAlign w:val="bottom"/>
            <w:hideMark/>
          </w:tcPr>
          <w:p w14:paraId="5BE8B1F3"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2.07979%</w:t>
            </w:r>
          </w:p>
        </w:tc>
      </w:tr>
      <w:tr w:rsidR="00D82826" w:rsidRPr="00F02FF9" w14:paraId="2F2B77F5"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528859E0"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VANG FTSE DEX EURA</w:t>
            </w:r>
          </w:p>
        </w:tc>
        <w:tc>
          <w:tcPr>
            <w:tcW w:w="1081" w:type="dxa"/>
            <w:tcBorders>
              <w:top w:val="nil"/>
              <w:left w:val="nil"/>
              <w:bottom w:val="single" w:sz="8" w:space="0" w:color="auto"/>
              <w:right w:val="single" w:sz="8" w:space="0" w:color="auto"/>
            </w:tcBorders>
            <w:noWrap/>
            <w:vAlign w:val="center"/>
            <w:hideMark/>
          </w:tcPr>
          <w:p w14:paraId="53ECCD40"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VERE.L</w:t>
            </w:r>
          </w:p>
        </w:tc>
        <w:tc>
          <w:tcPr>
            <w:tcW w:w="1710" w:type="dxa"/>
            <w:tcBorders>
              <w:top w:val="nil"/>
              <w:left w:val="nil"/>
              <w:bottom w:val="single" w:sz="8" w:space="0" w:color="auto"/>
              <w:right w:val="single" w:sz="8" w:space="0" w:color="auto"/>
            </w:tcBorders>
            <w:noWrap/>
            <w:vAlign w:val="center"/>
            <w:hideMark/>
          </w:tcPr>
          <w:p w14:paraId="3E8AF926"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IE00BK5BQY34</w:t>
            </w:r>
          </w:p>
        </w:tc>
        <w:tc>
          <w:tcPr>
            <w:tcW w:w="1727" w:type="dxa"/>
            <w:tcBorders>
              <w:top w:val="nil"/>
              <w:left w:val="nil"/>
              <w:bottom w:val="single" w:sz="8" w:space="0" w:color="auto"/>
              <w:right w:val="single" w:sz="8" w:space="0" w:color="auto"/>
            </w:tcBorders>
            <w:noWrap/>
            <w:vAlign w:val="bottom"/>
            <w:hideMark/>
          </w:tcPr>
          <w:p w14:paraId="74850C08"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5.46945%</w:t>
            </w:r>
          </w:p>
        </w:tc>
      </w:tr>
      <w:tr w:rsidR="00D82826" w:rsidRPr="00F02FF9" w14:paraId="10A2EE94" w14:textId="77777777" w:rsidTr="00503337">
        <w:trPr>
          <w:trHeight w:val="480"/>
        </w:trPr>
        <w:tc>
          <w:tcPr>
            <w:tcW w:w="5100" w:type="dxa"/>
            <w:tcBorders>
              <w:top w:val="nil"/>
              <w:left w:val="single" w:sz="8" w:space="0" w:color="auto"/>
              <w:bottom w:val="single" w:sz="8" w:space="0" w:color="auto"/>
              <w:right w:val="single" w:sz="8" w:space="0" w:color="auto"/>
            </w:tcBorders>
            <w:noWrap/>
            <w:vAlign w:val="center"/>
            <w:hideMark/>
          </w:tcPr>
          <w:p w14:paraId="31A5BEF5"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ETFS SWISS GOL/d</w:t>
            </w:r>
          </w:p>
        </w:tc>
        <w:tc>
          <w:tcPr>
            <w:tcW w:w="1081" w:type="dxa"/>
            <w:tcBorders>
              <w:top w:val="nil"/>
              <w:left w:val="nil"/>
              <w:bottom w:val="single" w:sz="8" w:space="0" w:color="auto"/>
              <w:right w:val="single" w:sz="8" w:space="0" w:color="auto"/>
            </w:tcBorders>
            <w:noWrap/>
            <w:vAlign w:val="center"/>
            <w:hideMark/>
          </w:tcPr>
          <w:p w14:paraId="3E9B8563"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SGBS.L</w:t>
            </w:r>
          </w:p>
        </w:tc>
        <w:tc>
          <w:tcPr>
            <w:tcW w:w="1710" w:type="dxa"/>
            <w:tcBorders>
              <w:top w:val="nil"/>
              <w:left w:val="nil"/>
              <w:bottom w:val="single" w:sz="8" w:space="0" w:color="auto"/>
              <w:right w:val="single" w:sz="8" w:space="0" w:color="auto"/>
            </w:tcBorders>
            <w:noWrap/>
            <w:vAlign w:val="center"/>
            <w:hideMark/>
          </w:tcPr>
          <w:p w14:paraId="6F58EC45" w14:textId="77777777" w:rsidR="00D82826" w:rsidRPr="00F02FF9" w:rsidRDefault="00D82826" w:rsidP="00503337">
            <w:pPr>
              <w:spacing w:before="0" w:after="0"/>
              <w:rPr>
                <w:rFonts w:cs="Calibri"/>
                <w:color w:val="000000"/>
                <w:lang w:val="en-US" w:eastAsia="zh-CN"/>
              </w:rPr>
            </w:pPr>
            <w:r w:rsidRPr="00F02FF9">
              <w:rPr>
                <w:rFonts w:cs="Calibri"/>
                <w:color w:val="000000"/>
                <w:lang w:val="en-US" w:eastAsia="zh-CN"/>
              </w:rPr>
              <w:t>JE00B588CD74</w:t>
            </w:r>
          </w:p>
        </w:tc>
        <w:tc>
          <w:tcPr>
            <w:tcW w:w="1727" w:type="dxa"/>
            <w:tcBorders>
              <w:top w:val="nil"/>
              <w:left w:val="nil"/>
              <w:bottom w:val="single" w:sz="8" w:space="0" w:color="auto"/>
              <w:right w:val="single" w:sz="8" w:space="0" w:color="auto"/>
            </w:tcBorders>
            <w:noWrap/>
            <w:vAlign w:val="bottom"/>
            <w:hideMark/>
          </w:tcPr>
          <w:p w14:paraId="416D13F1" w14:textId="77777777" w:rsidR="00D82826" w:rsidRPr="00F02FF9" w:rsidRDefault="00D82826" w:rsidP="00503337">
            <w:pPr>
              <w:spacing w:before="0" w:after="0"/>
              <w:rPr>
                <w:rFonts w:cs="Calibri"/>
                <w:color w:val="000000"/>
                <w:lang w:val="en-US" w:eastAsia="zh-CN"/>
              </w:rPr>
            </w:pPr>
            <w:r w:rsidRPr="00005D44">
              <w:rPr>
                <w:rFonts w:cs="Calibri"/>
                <w:color w:val="000000"/>
                <w:lang w:val="en-US" w:eastAsia="zh-CN"/>
              </w:rPr>
              <w:t>2.09979%</w:t>
            </w:r>
          </w:p>
        </w:tc>
      </w:tr>
    </w:tbl>
    <w:p w14:paraId="0DD2D581" w14:textId="77777777" w:rsidR="001A252E" w:rsidRDefault="001A252E" w:rsidP="001A252E">
      <w:pPr>
        <w:spacing w:before="0" w:after="160" w:line="259" w:lineRule="auto"/>
        <w:rPr>
          <w:lang w:val="en-US"/>
        </w:rPr>
      </w:pPr>
    </w:p>
    <w:p w14:paraId="23525744" w14:textId="77777777" w:rsidR="001A252E" w:rsidRPr="001A252E" w:rsidRDefault="001A252E" w:rsidP="001A252E">
      <w:pPr>
        <w:spacing w:before="0" w:after="160" w:line="259" w:lineRule="auto"/>
        <w:rPr>
          <w:lang w:val="en-US"/>
        </w:rPr>
      </w:pPr>
      <w:r w:rsidRPr="001A252E">
        <w:rPr>
          <w:lang w:val="en-US"/>
        </w:rPr>
        <w:t>To (new version):</w:t>
      </w:r>
    </w:p>
    <w:tbl>
      <w:tblPr>
        <w:tblW w:w="9618" w:type="dxa"/>
        <w:tblLook w:val="04A0" w:firstRow="1" w:lastRow="0" w:firstColumn="1" w:lastColumn="0" w:noHBand="0" w:noVBand="1"/>
      </w:tblPr>
      <w:tblGrid>
        <w:gridCol w:w="5099"/>
        <w:gridCol w:w="1081"/>
        <w:gridCol w:w="1711"/>
        <w:gridCol w:w="1727"/>
        <w:tblGridChange w:id="1">
          <w:tblGrid>
            <w:gridCol w:w="5099"/>
            <w:gridCol w:w="1081"/>
            <w:gridCol w:w="1711"/>
            <w:gridCol w:w="1727"/>
          </w:tblGrid>
        </w:tblGridChange>
      </w:tblGrid>
      <w:tr w:rsidR="00B526D8" w:rsidRPr="00F02FF9" w14:paraId="568AE891" w14:textId="77777777" w:rsidTr="00503337">
        <w:trPr>
          <w:trHeight w:val="348"/>
        </w:trPr>
        <w:tc>
          <w:tcPr>
            <w:tcW w:w="5099" w:type="dxa"/>
            <w:tcBorders>
              <w:top w:val="single" w:sz="8" w:space="0" w:color="auto"/>
              <w:left w:val="single" w:sz="8" w:space="0" w:color="auto"/>
              <w:bottom w:val="single" w:sz="8" w:space="0" w:color="auto"/>
              <w:right w:val="single" w:sz="8" w:space="0" w:color="auto"/>
            </w:tcBorders>
            <w:shd w:val="clear" w:color="000000" w:fill="7DB4FD"/>
            <w:vAlign w:val="center"/>
            <w:hideMark/>
          </w:tcPr>
          <w:p w14:paraId="7C40FB1B" w14:textId="77777777" w:rsidR="00B526D8" w:rsidRPr="00F02FF9" w:rsidRDefault="00B526D8" w:rsidP="00503337">
            <w:pPr>
              <w:spacing w:before="0" w:after="0"/>
              <w:jc w:val="left"/>
              <w:rPr>
                <w:rFonts w:cs="Calibri"/>
                <w:b/>
                <w:bCs/>
                <w:color w:val="000000"/>
                <w:sz w:val="22"/>
                <w:szCs w:val="22"/>
                <w:lang w:val="en-US" w:eastAsia="zh-CN"/>
              </w:rPr>
            </w:pPr>
            <w:r w:rsidRPr="00F02FF9">
              <w:rPr>
                <w:rFonts w:cs="Calibri"/>
                <w:b/>
                <w:bCs/>
                <w:color w:val="000000"/>
                <w:sz w:val="22"/>
                <w:szCs w:val="22"/>
                <w:lang w:eastAsia="zh-CN"/>
              </w:rPr>
              <w:t>Name</w:t>
            </w:r>
          </w:p>
        </w:tc>
        <w:tc>
          <w:tcPr>
            <w:tcW w:w="1081" w:type="dxa"/>
            <w:tcBorders>
              <w:top w:val="single" w:sz="8" w:space="0" w:color="auto"/>
              <w:left w:val="nil"/>
              <w:bottom w:val="single" w:sz="8" w:space="0" w:color="auto"/>
              <w:right w:val="single" w:sz="8" w:space="0" w:color="auto"/>
            </w:tcBorders>
            <w:shd w:val="clear" w:color="000000" w:fill="7DB4FD"/>
            <w:vAlign w:val="center"/>
            <w:hideMark/>
          </w:tcPr>
          <w:p w14:paraId="63EE30AB" w14:textId="77777777" w:rsidR="00B526D8" w:rsidRPr="00F02FF9" w:rsidRDefault="00B526D8" w:rsidP="00503337">
            <w:pPr>
              <w:spacing w:before="0" w:after="0"/>
              <w:rPr>
                <w:rFonts w:cs="Calibri"/>
                <w:b/>
                <w:bCs/>
                <w:color w:val="000000"/>
                <w:sz w:val="22"/>
                <w:szCs w:val="22"/>
                <w:lang w:val="en-US" w:eastAsia="zh-CN"/>
              </w:rPr>
            </w:pPr>
            <w:r w:rsidRPr="00F02FF9">
              <w:rPr>
                <w:rFonts w:cs="Calibri"/>
                <w:b/>
                <w:bCs/>
                <w:color w:val="000000"/>
                <w:sz w:val="22"/>
                <w:szCs w:val="22"/>
                <w:lang w:eastAsia="zh-CN"/>
              </w:rPr>
              <w:t>RIC</w:t>
            </w:r>
          </w:p>
        </w:tc>
        <w:tc>
          <w:tcPr>
            <w:tcW w:w="1711" w:type="dxa"/>
            <w:tcBorders>
              <w:top w:val="single" w:sz="8" w:space="0" w:color="auto"/>
              <w:left w:val="nil"/>
              <w:bottom w:val="single" w:sz="8" w:space="0" w:color="auto"/>
              <w:right w:val="single" w:sz="8" w:space="0" w:color="auto"/>
            </w:tcBorders>
            <w:shd w:val="clear" w:color="000000" w:fill="7DB4FD"/>
            <w:vAlign w:val="center"/>
            <w:hideMark/>
          </w:tcPr>
          <w:p w14:paraId="43CE05AF" w14:textId="77777777" w:rsidR="00B526D8" w:rsidRPr="00F02FF9" w:rsidRDefault="00B526D8" w:rsidP="00503337">
            <w:pPr>
              <w:spacing w:before="0" w:after="0"/>
              <w:rPr>
                <w:rFonts w:cs="Calibri"/>
                <w:b/>
                <w:bCs/>
                <w:color w:val="000000"/>
                <w:sz w:val="22"/>
                <w:szCs w:val="22"/>
                <w:lang w:val="en-US" w:eastAsia="zh-CN"/>
              </w:rPr>
            </w:pPr>
            <w:r w:rsidRPr="00F02FF9">
              <w:rPr>
                <w:rFonts w:cs="Calibri"/>
                <w:b/>
                <w:bCs/>
                <w:color w:val="000000"/>
                <w:sz w:val="22"/>
                <w:szCs w:val="22"/>
                <w:lang w:eastAsia="zh-CN"/>
              </w:rPr>
              <w:t>ISIN</w:t>
            </w:r>
          </w:p>
        </w:tc>
        <w:tc>
          <w:tcPr>
            <w:tcW w:w="1727" w:type="dxa"/>
            <w:tcBorders>
              <w:top w:val="single" w:sz="8" w:space="0" w:color="auto"/>
              <w:left w:val="nil"/>
              <w:bottom w:val="single" w:sz="8" w:space="0" w:color="auto"/>
              <w:right w:val="single" w:sz="8" w:space="0" w:color="auto"/>
            </w:tcBorders>
            <w:shd w:val="clear" w:color="000000" w:fill="91BFFD"/>
            <w:vAlign w:val="center"/>
            <w:hideMark/>
          </w:tcPr>
          <w:p w14:paraId="51BCE430" w14:textId="77777777" w:rsidR="00B526D8" w:rsidRPr="00F02FF9" w:rsidRDefault="00B526D8" w:rsidP="00503337">
            <w:pPr>
              <w:spacing w:before="0" w:after="0"/>
              <w:rPr>
                <w:rFonts w:cs="Calibri"/>
                <w:b/>
                <w:bCs/>
                <w:color w:val="000000"/>
                <w:sz w:val="22"/>
                <w:szCs w:val="22"/>
                <w:lang w:val="en-US" w:eastAsia="zh-CN"/>
              </w:rPr>
            </w:pPr>
            <w:r w:rsidRPr="00F02FF9">
              <w:rPr>
                <w:rFonts w:cs="Calibri"/>
                <w:b/>
                <w:bCs/>
                <w:color w:val="000000"/>
                <w:sz w:val="22"/>
                <w:szCs w:val="22"/>
                <w:lang w:eastAsia="zh-CN"/>
              </w:rPr>
              <w:t>Weight</w:t>
            </w:r>
          </w:p>
        </w:tc>
      </w:tr>
      <w:tr w:rsidR="00B526D8" w:rsidRPr="00F02FF9" w14:paraId="52AF3635"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2A08E86E"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USD TRSRY 1-3Y USD A</w:t>
            </w:r>
          </w:p>
        </w:tc>
        <w:tc>
          <w:tcPr>
            <w:tcW w:w="1081" w:type="dxa"/>
            <w:tcBorders>
              <w:top w:val="nil"/>
              <w:left w:val="nil"/>
              <w:bottom w:val="single" w:sz="8" w:space="0" w:color="auto"/>
              <w:right w:val="single" w:sz="8" w:space="0" w:color="auto"/>
            </w:tcBorders>
            <w:noWrap/>
            <w:vAlign w:val="center"/>
            <w:hideMark/>
          </w:tcPr>
          <w:p w14:paraId="32C9911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IBTA.L</w:t>
            </w:r>
          </w:p>
        </w:tc>
        <w:tc>
          <w:tcPr>
            <w:tcW w:w="1711" w:type="dxa"/>
            <w:tcBorders>
              <w:top w:val="nil"/>
              <w:left w:val="nil"/>
              <w:bottom w:val="single" w:sz="8" w:space="0" w:color="auto"/>
              <w:right w:val="single" w:sz="8" w:space="0" w:color="auto"/>
            </w:tcBorders>
            <w:noWrap/>
            <w:vAlign w:val="center"/>
            <w:hideMark/>
          </w:tcPr>
          <w:p w14:paraId="79CEE92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IE00BYXPSP02</w:t>
            </w:r>
          </w:p>
        </w:tc>
        <w:tc>
          <w:tcPr>
            <w:tcW w:w="1727" w:type="dxa"/>
            <w:tcBorders>
              <w:top w:val="nil"/>
              <w:left w:val="nil"/>
              <w:bottom w:val="single" w:sz="8" w:space="0" w:color="auto"/>
              <w:right w:val="single" w:sz="8" w:space="0" w:color="auto"/>
            </w:tcBorders>
            <w:noWrap/>
          </w:tcPr>
          <w:p w14:paraId="11D27A6C" w14:textId="77777777" w:rsidR="00B526D8" w:rsidRPr="00F02FF9" w:rsidRDefault="00B526D8" w:rsidP="00503337">
            <w:pPr>
              <w:spacing w:before="0" w:after="0"/>
              <w:rPr>
                <w:rFonts w:cs="Calibri"/>
                <w:color w:val="000000"/>
                <w:lang w:val="en-US" w:eastAsia="zh-CN"/>
              </w:rPr>
            </w:pPr>
            <w:r w:rsidRPr="00A53750">
              <w:t>12.81%</w:t>
            </w:r>
          </w:p>
        </w:tc>
      </w:tr>
      <w:tr w:rsidR="00B526D8" w:rsidRPr="00F02FF9" w14:paraId="45F6A3A0"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26BF7934"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VANUSDCORP13YR/d</w:t>
            </w:r>
          </w:p>
        </w:tc>
        <w:tc>
          <w:tcPr>
            <w:tcW w:w="1081" w:type="dxa"/>
            <w:tcBorders>
              <w:top w:val="nil"/>
              <w:left w:val="nil"/>
              <w:bottom w:val="single" w:sz="8" w:space="0" w:color="auto"/>
              <w:right w:val="single" w:sz="8" w:space="0" w:color="auto"/>
            </w:tcBorders>
            <w:noWrap/>
            <w:vAlign w:val="center"/>
            <w:hideMark/>
          </w:tcPr>
          <w:p w14:paraId="1A999397"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VDCA.L</w:t>
            </w:r>
          </w:p>
        </w:tc>
        <w:tc>
          <w:tcPr>
            <w:tcW w:w="1711" w:type="dxa"/>
            <w:tcBorders>
              <w:top w:val="nil"/>
              <w:left w:val="nil"/>
              <w:bottom w:val="single" w:sz="8" w:space="0" w:color="auto"/>
              <w:right w:val="single" w:sz="8" w:space="0" w:color="auto"/>
            </w:tcBorders>
            <w:noWrap/>
            <w:vAlign w:val="center"/>
            <w:hideMark/>
          </w:tcPr>
          <w:p w14:paraId="10BFB737"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IE00BGYWSV06</w:t>
            </w:r>
          </w:p>
        </w:tc>
        <w:tc>
          <w:tcPr>
            <w:tcW w:w="1727" w:type="dxa"/>
            <w:tcBorders>
              <w:top w:val="nil"/>
              <w:left w:val="nil"/>
              <w:bottom w:val="single" w:sz="8" w:space="0" w:color="auto"/>
              <w:right w:val="single" w:sz="8" w:space="0" w:color="auto"/>
            </w:tcBorders>
            <w:noWrap/>
          </w:tcPr>
          <w:p w14:paraId="25E464AA" w14:textId="77777777" w:rsidR="00B526D8" w:rsidRPr="00F02FF9" w:rsidRDefault="00B526D8" w:rsidP="00503337">
            <w:pPr>
              <w:spacing w:before="0" w:after="0"/>
              <w:rPr>
                <w:rFonts w:cs="Calibri"/>
                <w:color w:val="000000"/>
                <w:lang w:val="en-US" w:eastAsia="zh-CN"/>
              </w:rPr>
            </w:pPr>
            <w:r w:rsidRPr="00A53750">
              <w:t>9.81%</w:t>
            </w:r>
          </w:p>
        </w:tc>
      </w:tr>
      <w:tr w:rsidR="00B526D8" w:rsidRPr="00F02FF9" w14:paraId="0B9B9F9D"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21F0111C"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USD HY CORP USD ACC</w:t>
            </w:r>
          </w:p>
        </w:tc>
        <w:tc>
          <w:tcPr>
            <w:tcW w:w="1081" w:type="dxa"/>
            <w:tcBorders>
              <w:top w:val="nil"/>
              <w:left w:val="nil"/>
              <w:bottom w:val="single" w:sz="8" w:space="0" w:color="auto"/>
              <w:right w:val="single" w:sz="8" w:space="0" w:color="auto"/>
            </w:tcBorders>
            <w:noWrap/>
            <w:vAlign w:val="center"/>
            <w:hideMark/>
          </w:tcPr>
          <w:p w14:paraId="11CD2CCD"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IHYA.L</w:t>
            </w:r>
          </w:p>
        </w:tc>
        <w:tc>
          <w:tcPr>
            <w:tcW w:w="1711" w:type="dxa"/>
            <w:tcBorders>
              <w:top w:val="nil"/>
              <w:left w:val="nil"/>
              <w:bottom w:val="single" w:sz="8" w:space="0" w:color="auto"/>
              <w:right w:val="single" w:sz="8" w:space="0" w:color="auto"/>
            </w:tcBorders>
            <w:noWrap/>
            <w:vAlign w:val="center"/>
            <w:hideMark/>
          </w:tcPr>
          <w:p w14:paraId="073C6ED8"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IE00BYXYYL56</w:t>
            </w:r>
          </w:p>
        </w:tc>
        <w:tc>
          <w:tcPr>
            <w:tcW w:w="1727" w:type="dxa"/>
            <w:tcBorders>
              <w:top w:val="nil"/>
              <w:left w:val="nil"/>
              <w:bottom w:val="single" w:sz="8" w:space="0" w:color="auto"/>
              <w:right w:val="single" w:sz="8" w:space="0" w:color="auto"/>
            </w:tcBorders>
            <w:noWrap/>
          </w:tcPr>
          <w:p w14:paraId="34751B0D" w14:textId="77777777" w:rsidR="00B526D8" w:rsidRPr="00F02FF9" w:rsidRDefault="00B526D8" w:rsidP="00503337">
            <w:pPr>
              <w:spacing w:before="0" w:after="0"/>
              <w:rPr>
                <w:rFonts w:cs="Calibri"/>
                <w:color w:val="000000"/>
                <w:lang w:val="en-US" w:eastAsia="zh-CN"/>
              </w:rPr>
            </w:pPr>
            <w:r w:rsidRPr="00A53750">
              <w:t>6.20%</w:t>
            </w:r>
          </w:p>
        </w:tc>
      </w:tr>
      <w:tr w:rsidR="00B526D8" w:rsidRPr="00F02FF9" w14:paraId="62642006"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6C46EE0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US AGG BND USD ACC</w:t>
            </w:r>
          </w:p>
        </w:tc>
        <w:tc>
          <w:tcPr>
            <w:tcW w:w="1081" w:type="dxa"/>
            <w:tcBorders>
              <w:top w:val="nil"/>
              <w:left w:val="nil"/>
              <w:bottom w:val="single" w:sz="8" w:space="0" w:color="auto"/>
              <w:right w:val="single" w:sz="8" w:space="0" w:color="auto"/>
            </w:tcBorders>
            <w:noWrap/>
            <w:vAlign w:val="center"/>
            <w:hideMark/>
          </w:tcPr>
          <w:p w14:paraId="78255707"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IUAA.L</w:t>
            </w:r>
          </w:p>
        </w:tc>
        <w:tc>
          <w:tcPr>
            <w:tcW w:w="1711" w:type="dxa"/>
            <w:tcBorders>
              <w:top w:val="nil"/>
              <w:left w:val="nil"/>
              <w:bottom w:val="single" w:sz="8" w:space="0" w:color="auto"/>
              <w:right w:val="single" w:sz="8" w:space="0" w:color="auto"/>
            </w:tcBorders>
            <w:noWrap/>
            <w:vAlign w:val="center"/>
            <w:hideMark/>
          </w:tcPr>
          <w:p w14:paraId="4B88B07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IE00BYXYYM63</w:t>
            </w:r>
          </w:p>
        </w:tc>
        <w:tc>
          <w:tcPr>
            <w:tcW w:w="1727" w:type="dxa"/>
            <w:tcBorders>
              <w:top w:val="nil"/>
              <w:left w:val="nil"/>
              <w:bottom w:val="single" w:sz="8" w:space="0" w:color="auto"/>
              <w:right w:val="single" w:sz="8" w:space="0" w:color="auto"/>
            </w:tcBorders>
            <w:noWrap/>
          </w:tcPr>
          <w:p w14:paraId="55E58D21" w14:textId="77777777" w:rsidR="00B526D8" w:rsidRPr="00F02FF9" w:rsidRDefault="00B526D8" w:rsidP="00503337">
            <w:pPr>
              <w:spacing w:before="0" w:after="0"/>
              <w:rPr>
                <w:rFonts w:cs="Calibri"/>
                <w:color w:val="000000"/>
                <w:lang w:val="en-US" w:eastAsia="zh-CN"/>
              </w:rPr>
            </w:pPr>
            <w:r w:rsidRPr="00A53750">
              <w:t>5.07%</w:t>
            </w:r>
          </w:p>
        </w:tc>
      </w:tr>
      <w:tr w:rsidR="00B526D8" w:rsidRPr="00F02FF9" w14:paraId="2C98FC76"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362D7BBE"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USD TIPS</w:t>
            </w:r>
          </w:p>
        </w:tc>
        <w:tc>
          <w:tcPr>
            <w:tcW w:w="1081" w:type="dxa"/>
            <w:tcBorders>
              <w:top w:val="nil"/>
              <w:left w:val="nil"/>
              <w:bottom w:val="single" w:sz="8" w:space="0" w:color="auto"/>
              <w:right w:val="single" w:sz="8" w:space="0" w:color="auto"/>
            </w:tcBorders>
            <w:noWrap/>
            <w:vAlign w:val="center"/>
            <w:hideMark/>
          </w:tcPr>
          <w:p w14:paraId="09F101A4"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IDTP.L</w:t>
            </w:r>
          </w:p>
        </w:tc>
        <w:tc>
          <w:tcPr>
            <w:tcW w:w="1711" w:type="dxa"/>
            <w:tcBorders>
              <w:top w:val="nil"/>
              <w:left w:val="nil"/>
              <w:bottom w:val="single" w:sz="8" w:space="0" w:color="auto"/>
              <w:right w:val="single" w:sz="8" w:space="0" w:color="auto"/>
            </w:tcBorders>
            <w:noWrap/>
            <w:vAlign w:val="center"/>
            <w:hideMark/>
          </w:tcPr>
          <w:p w14:paraId="7DD8AD57"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IE00B1FZSC47</w:t>
            </w:r>
          </w:p>
        </w:tc>
        <w:tc>
          <w:tcPr>
            <w:tcW w:w="1727" w:type="dxa"/>
            <w:tcBorders>
              <w:top w:val="nil"/>
              <w:left w:val="nil"/>
              <w:bottom w:val="single" w:sz="8" w:space="0" w:color="auto"/>
              <w:right w:val="single" w:sz="8" w:space="0" w:color="auto"/>
            </w:tcBorders>
            <w:noWrap/>
          </w:tcPr>
          <w:p w14:paraId="7C7EEEB8" w14:textId="77777777" w:rsidR="00B526D8" w:rsidRPr="00F02FF9" w:rsidRDefault="00B526D8" w:rsidP="00503337">
            <w:pPr>
              <w:spacing w:before="0" w:after="0"/>
              <w:rPr>
                <w:rFonts w:cs="Calibri"/>
                <w:color w:val="000000"/>
                <w:lang w:val="en-US" w:eastAsia="zh-CN"/>
              </w:rPr>
            </w:pPr>
            <w:r w:rsidRPr="00A53750">
              <w:t>2.51%</w:t>
            </w:r>
          </w:p>
        </w:tc>
      </w:tr>
      <w:tr w:rsidR="00B526D8" w:rsidRPr="00F02FF9" w14:paraId="3F5DF412"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0419F8D6"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CORP BOND UCITS ETF USD</w:t>
            </w:r>
          </w:p>
        </w:tc>
        <w:tc>
          <w:tcPr>
            <w:tcW w:w="1081" w:type="dxa"/>
            <w:tcBorders>
              <w:top w:val="nil"/>
              <w:left w:val="nil"/>
              <w:bottom w:val="single" w:sz="8" w:space="0" w:color="auto"/>
              <w:right w:val="single" w:sz="8" w:space="0" w:color="auto"/>
            </w:tcBorders>
            <w:noWrap/>
            <w:vAlign w:val="center"/>
            <w:hideMark/>
          </w:tcPr>
          <w:p w14:paraId="736BE588"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ISLQDA.L</w:t>
            </w:r>
          </w:p>
        </w:tc>
        <w:tc>
          <w:tcPr>
            <w:tcW w:w="1711" w:type="dxa"/>
            <w:tcBorders>
              <w:top w:val="nil"/>
              <w:left w:val="nil"/>
              <w:bottom w:val="single" w:sz="8" w:space="0" w:color="auto"/>
              <w:right w:val="single" w:sz="8" w:space="0" w:color="auto"/>
            </w:tcBorders>
            <w:noWrap/>
            <w:vAlign w:val="center"/>
            <w:hideMark/>
          </w:tcPr>
          <w:p w14:paraId="0D5190AA"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IE00BYXYYJ35</w:t>
            </w:r>
          </w:p>
        </w:tc>
        <w:tc>
          <w:tcPr>
            <w:tcW w:w="1727" w:type="dxa"/>
            <w:tcBorders>
              <w:top w:val="nil"/>
              <w:left w:val="nil"/>
              <w:bottom w:val="single" w:sz="8" w:space="0" w:color="auto"/>
              <w:right w:val="single" w:sz="8" w:space="0" w:color="auto"/>
            </w:tcBorders>
            <w:noWrap/>
          </w:tcPr>
          <w:p w14:paraId="0D277FC9" w14:textId="77777777" w:rsidR="00B526D8" w:rsidRPr="00F02FF9" w:rsidRDefault="00B526D8" w:rsidP="00503337">
            <w:pPr>
              <w:spacing w:before="0" w:after="0"/>
              <w:rPr>
                <w:rFonts w:cs="Calibri"/>
                <w:color w:val="000000"/>
                <w:lang w:val="en-US" w:eastAsia="zh-CN"/>
              </w:rPr>
            </w:pPr>
            <w:r w:rsidRPr="00A53750">
              <w:t>2.51%</w:t>
            </w:r>
          </w:p>
        </w:tc>
      </w:tr>
      <w:tr w:rsidR="00B526D8" w:rsidRPr="00F02FF9" w14:paraId="435C885B"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12693D45"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VANUSDEMKTGOVB/d</w:t>
            </w:r>
          </w:p>
        </w:tc>
        <w:tc>
          <w:tcPr>
            <w:tcW w:w="1081" w:type="dxa"/>
            <w:tcBorders>
              <w:top w:val="nil"/>
              <w:left w:val="nil"/>
              <w:bottom w:val="single" w:sz="8" w:space="0" w:color="auto"/>
              <w:right w:val="single" w:sz="8" w:space="0" w:color="auto"/>
            </w:tcBorders>
            <w:noWrap/>
            <w:vAlign w:val="center"/>
            <w:hideMark/>
          </w:tcPr>
          <w:p w14:paraId="6A6034AA" w14:textId="77777777" w:rsidR="00B526D8" w:rsidRPr="00F02FF9" w:rsidRDefault="00B526D8" w:rsidP="00503337">
            <w:pPr>
              <w:spacing w:before="0" w:after="0"/>
              <w:rPr>
                <w:rFonts w:cs="Calibri"/>
                <w:color w:val="000000"/>
                <w:lang w:val="en-US" w:eastAsia="zh-CN"/>
              </w:rPr>
            </w:pPr>
            <w:r w:rsidRPr="00C93C48">
              <w:rPr>
                <w:rFonts w:cs="Calibri"/>
                <w:color w:val="000000"/>
                <w:lang w:val="en-US" w:eastAsia="zh-CN"/>
              </w:rPr>
              <w:t>VDEA.L</w:t>
            </w:r>
          </w:p>
        </w:tc>
        <w:tc>
          <w:tcPr>
            <w:tcW w:w="1711" w:type="dxa"/>
            <w:tcBorders>
              <w:top w:val="nil"/>
              <w:left w:val="nil"/>
              <w:bottom w:val="single" w:sz="8" w:space="0" w:color="auto"/>
              <w:right w:val="single" w:sz="8" w:space="0" w:color="auto"/>
            </w:tcBorders>
            <w:noWrap/>
            <w:vAlign w:val="center"/>
            <w:hideMark/>
          </w:tcPr>
          <w:p w14:paraId="07D14B3B"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IE00BGYWCB81</w:t>
            </w:r>
          </w:p>
        </w:tc>
        <w:tc>
          <w:tcPr>
            <w:tcW w:w="1727" w:type="dxa"/>
            <w:tcBorders>
              <w:top w:val="nil"/>
              <w:left w:val="nil"/>
              <w:bottom w:val="single" w:sz="8" w:space="0" w:color="auto"/>
              <w:right w:val="single" w:sz="8" w:space="0" w:color="auto"/>
            </w:tcBorders>
            <w:noWrap/>
          </w:tcPr>
          <w:p w14:paraId="033FD860" w14:textId="77777777" w:rsidR="00B526D8" w:rsidRPr="00F02FF9" w:rsidRDefault="00B526D8" w:rsidP="00503337">
            <w:pPr>
              <w:spacing w:before="0" w:after="0"/>
              <w:rPr>
                <w:rFonts w:cs="Calibri"/>
                <w:color w:val="000000"/>
                <w:lang w:val="en-US" w:eastAsia="zh-CN"/>
              </w:rPr>
            </w:pPr>
            <w:r w:rsidRPr="00A53750">
              <w:t>4.05%</w:t>
            </w:r>
          </w:p>
        </w:tc>
      </w:tr>
      <w:tr w:rsidR="00B526D8" w:rsidRPr="00F02FF9" w14:paraId="22511C36"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4FE7EEB7"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lastRenderedPageBreak/>
              <w:t>ISHARES CORE S&amp;P 500 UCITS ETF</w:t>
            </w:r>
          </w:p>
        </w:tc>
        <w:tc>
          <w:tcPr>
            <w:tcW w:w="1081" w:type="dxa"/>
            <w:tcBorders>
              <w:top w:val="nil"/>
              <w:left w:val="nil"/>
              <w:bottom w:val="single" w:sz="8" w:space="0" w:color="auto"/>
              <w:right w:val="single" w:sz="8" w:space="0" w:color="auto"/>
            </w:tcBorders>
            <w:noWrap/>
            <w:vAlign w:val="center"/>
            <w:hideMark/>
          </w:tcPr>
          <w:p w14:paraId="0FBDC34B"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CSPX.L</w:t>
            </w:r>
          </w:p>
        </w:tc>
        <w:tc>
          <w:tcPr>
            <w:tcW w:w="1711" w:type="dxa"/>
            <w:tcBorders>
              <w:top w:val="nil"/>
              <w:left w:val="nil"/>
              <w:bottom w:val="single" w:sz="8" w:space="0" w:color="auto"/>
              <w:right w:val="single" w:sz="8" w:space="0" w:color="auto"/>
            </w:tcBorders>
            <w:noWrap/>
            <w:vAlign w:val="center"/>
            <w:hideMark/>
          </w:tcPr>
          <w:p w14:paraId="7DF9BB6E"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IE00B5BMR087</w:t>
            </w:r>
          </w:p>
        </w:tc>
        <w:tc>
          <w:tcPr>
            <w:tcW w:w="1727" w:type="dxa"/>
            <w:tcBorders>
              <w:top w:val="nil"/>
              <w:left w:val="nil"/>
              <w:bottom w:val="single" w:sz="8" w:space="0" w:color="auto"/>
              <w:right w:val="single" w:sz="8" w:space="0" w:color="auto"/>
            </w:tcBorders>
            <w:noWrap/>
          </w:tcPr>
          <w:p w14:paraId="70986B16" w14:textId="77777777" w:rsidR="00B526D8" w:rsidRPr="00F02FF9" w:rsidRDefault="00B526D8" w:rsidP="00503337">
            <w:pPr>
              <w:spacing w:before="0" w:after="0"/>
              <w:rPr>
                <w:rFonts w:cs="Calibri"/>
                <w:color w:val="000000"/>
                <w:lang w:val="en-US" w:eastAsia="zh-CN"/>
              </w:rPr>
            </w:pPr>
            <w:r w:rsidRPr="00A53750">
              <w:t>18.20%</w:t>
            </w:r>
          </w:p>
        </w:tc>
      </w:tr>
      <w:tr w:rsidR="00B526D8" w:rsidRPr="00F02FF9" w14:paraId="42F23C60"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1CB408C7" w14:textId="77777777" w:rsidR="00B526D8" w:rsidRPr="001B1B14" w:rsidRDefault="00B526D8" w:rsidP="00503337">
            <w:pPr>
              <w:spacing w:before="0" w:after="0"/>
              <w:rPr>
                <w:rFonts w:cs="Calibri"/>
                <w:color w:val="000000"/>
                <w:lang w:val="fr-CA" w:eastAsia="zh-CN"/>
              </w:rPr>
            </w:pPr>
            <w:r w:rsidRPr="00012C47">
              <w:rPr>
                <w:rFonts w:cs="Calibri"/>
                <w:color w:val="000000"/>
                <w:lang w:val="fr-CA" w:eastAsia="zh-CN"/>
              </w:rPr>
              <w:t>ISHARES MSCI USA UCITS ETF</w:t>
            </w:r>
          </w:p>
        </w:tc>
        <w:tc>
          <w:tcPr>
            <w:tcW w:w="1081" w:type="dxa"/>
            <w:tcBorders>
              <w:top w:val="nil"/>
              <w:left w:val="nil"/>
              <w:bottom w:val="single" w:sz="8" w:space="0" w:color="auto"/>
              <w:right w:val="single" w:sz="8" w:space="0" w:color="auto"/>
            </w:tcBorders>
            <w:noWrap/>
            <w:vAlign w:val="center"/>
            <w:hideMark/>
          </w:tcPr>
          <w:p w14:paraId="41C186DF"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CSUS.</w:t>
            </w:r>
            <w:r>
              <w:rPr>
                <w:rFonts w:cs="Calibri"/>
                <w:color w:val="000000"/>
                <w:lang w:val="en-US" w:eastAsia="zh-CN"/>
              </w:rPr>
              <w:t>L</w:t>
            </w:r>
          </w:p>
        </w:tc>
        <w:tc>
          <w:tcPr>
            <w:tcW w:w="1711" w:type="dxa"/>
            <w:tcBorders>
              <w:top w:val="nil"/>
              <w:left w:val="nil"/>
              <w:bottom w:val="single" w:sz="8" w:space="0" w:color="auto"/>
              <w:right w:val="single" w:sz="8" w:space="0" w:color="auto"/>
            </w:tcBorders>
            <w:noWrap/>
            <w:vAlign w:val="center"/>
            <w:hideMark/>
          </w:tcPr>
          <w:p w14:paraId="385FE4EA"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IE00B52SFT06</w:t>
            </w:r>
          </w:p>
        </w:tc>
        <w:tc>
          <w:tcPr>
            <w:tcW w:w="1727" w:type="dxa"/>
            <w:tcBorders>
              <w:top w:val="nil"/>
              <w:left w:val="nil"/>
              <w:bottom w:val="single" w:sz="8" w:space="0" w:color="auto"/>
              <w:right w:val="single" w:sz="8" w:space="0" w:color="auto"/>
            </w:tcBorders>
            <w:noWrap/>
          </w:tcPr>
          <w:p w14:paraId="51DDBEEC" w14:textId="77777777" w:rsidR="00B526D8" w:rsidRPr="00F02FF9" w:rsidRDefault="00B526D8" w:rsidP="00503337">
            <w:pPr>
              <w:spacing w:before="0" w:after="0"/>
              <w:rPr>
                <w:rFonts w:cs="Calibri"/>
                <w:color w:val="000000"/>
                <w:lang w:val="en-US" w:eastAsia="zh-CN"/>
              </w:rPr>
            </w:pPr>
            <w:r w:rsidRPr="00A53750">
              <w:t>4.69%</w:t>
            </w:r>
          </w:p>
        </w:tc>
      </w:tr>
      <w:tr w:rsidR="00B526D8" w:rsidRPr="00F02FF9" w14:paraId="635CBB97"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62030424" w14:textId="77777777" w:rsidR="00B526D8" w:rsidRPr="00F02FF9" w:rsidRDefault="00B526D8" w:rsidP="00503337">
            <w:pPr>
              <w:spacing w:before="0" w:after="0"/>
              <w:rPr>
                <w:rFonts w:cs="Calibri"/>
                <w:color w:val="000000"/>
                <w:lang w:val="en-US" w:eastAsia="zh-CN"/>
              </w:rPr>
            </w:pPr>
            <w:r w:rsidRPr="00012C47">
              <w:rPr>
                <w:rFonts w:cs="Calibri"/>
                <w:color w:val="000000"/>
                <w:lang w:val="en-US" w:eastAsia="zh-CN"/>
              </w:rPr>
              <w:t>ISHARES MSCI USA SMALL CAP UCITS ETF</w:t>
            </w:r>
          </w:p>
        </w:tc>
        <w:tc>
          <w:tcPr>
            <w:tcW w:w="1081" w:type="dxa"/>
            <w:tcBorders>
              <w:top w:val="nil"/>
              <w:left w:val="nil"/>
              <w:bottom w:val="single" w:sz="8" w:space="0" w:color="auto"/>
              <w:right w:val="single" w:sz="8" w:space="0" w:color="auto"/>
            </w:tcBorders>
            <w:noWrap/>
            <w:vAlign w:val="center"/>
            <w:hideMark/>
          </w:tcPr>
          <w:p w14:paraId="28C2CE0B"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CUSS.</w:t>
            </w:r>
            <w:r>
              <w:rPr>
                <w:rFonts w:cs="Calibri"/>
                <w:color w:val="000000"/>
                <w:lang w:val="en-US" w:eastAsia="zh-CN"/>
              </w:rPr>
              <w:t>L</w:t>
            </w:r>
          </w:p>
        </w:tc>
        <w:tc>
          <w:tcPr>
            <w:tcW w:w="1711" w:type="dxa"/>
            <w:tcBorders>
              <w:top w:val="nil"/>
              <w:left w:val="nil"/>
              <w:bottom w:val="single" w:sz="8" w:space="0" w:color="auto"/>
              <w:right w:val="single" w:sz="8" w:space="0" w:color="auto"/>
            </w:tcBorders>
            <w:noWrap/>
            <w:vAlign w:val="center"/>
            <w:hideMark/>
          </w:tcPr>
          <w:p w14:paraId="5467443A"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IE00B3VWM098</w:t>
            </w:r>
          </w:p>
        </w:tc>
        <w:tc>
          <w:tcPr>
            <w:tcW w:w="1727" w:type="dxa"/>
            <w:tcBorders>
              <w:top w:val="nil"/>
              <w:left w:val="nil"/>
              <w:bottom w:val="single" w:sz="8" w:space="0" w:color="auto"/>
              <w:right w:val="single" w:sz="8" w:space="0" w:color="auto"/>
            </w:tcBorders>
            <w:noWrap/>
          </w:tcPr>
          <w:p w14:paraId="18B142CF" w14:textId="77777777" w:rsidR="00B526D8" w:rsidRPr="00F02FF9" w:rsidRDefault="00B526D8" w:rsidP="00503337">
            <w:pPr>
              <w:spacing w:before="0" w:after="0"/>
              <w:rPr>
                <w:rFonts w:cs="Calibri"/>
                <w:color w:val="000000"/>
                <w:lang w:val="en-US" w:eastAsia="zh-CN"/>
              </w:rPr>
            </w:pPr>
            <w:r w:rsidRPr="00A53750">
              <w:t>5.48%</w:t>
            </w:r>
          </w:p>
        </w:tc>
      </w:tr>
      <w:tr w:rsidR="00B526D8" w:rsidRPr="00F02FF9" w14:paraId="73838507"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7795792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CORE MSCI JAPAN</w:t>
            </w:r>
          </w:p>
        </w:tc>
        <w:tc>
          <w:tcPr>
            <w:tcW w:w="1081" w:type="dxa"/>
            <w:tcBorders>
              <w:top w:val="nil"/>
              <w:left w:val="nil"/>
              <w:bottom w:val="single" w:sz="8" w:space="0" w:color="auto"/>
              <w:right w:val="single" w:sz="8" w:space="0" w:color="auto"/>
            </w:tcBorders>
            <w:noWrap/>
            <w:vAlign w:val="center"/>
            <w:hideMark/>
          </w:tcPr>
          <w:p w14:paraId="3C54C8B2"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ISIJPA.L</w:t>
            </w:r>
          </w:p>
        </w:tc>
        <w:tc>
          <w:tcPr>
            <w:tcW w:w="1711" w:type="dxa"/>
            <w:tcBorders>
              <w:top w:val="nil"/>
              <w:left w:val="nil"/>
              <w:bottom w:val="single" w:sz="8" w:space="0" w:color="auto"/>
              <w:right w:val="single" w:sz="8" w:space="0" w:color="auto"/>
            </w:tcBorders>
            <w:noWrap/>
            <w:vAlign w:val="center"/>
            <w:hideMark/>
          </w:tcPr>
          <w:p w14:paraId="1BA4291C"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IE00B4L5YX21</w:t>
            </w:r>
          </w:p>
        </w:tc>
        <w:tc>
          <w:tcPr>
            <w:tcW w:w="1727" w:type="dxa"/>
            <w:tcBorders>
              <w:top w:val="nil"/>
              <w:left w:val="nil"/>
              <w:bottom w:val="single" w:sz="8" w:space="0" w:color="auto"/>
              <w:right w:val="single" w:sz="8" w:space="0" w:color="auto"/>
            </w:tcBorders>
            <w:noWrap/>
          </w:tcPr>
          <w:p w14:paraId="03C9E5DA" w14:textId="77777777" w:rsidR="00B526D8" w:rsidRPr="00F02FF9" w:rsidRDefault="00B526D8" w:rsidP="00503337">
            <w:pPr>
              <w:spacing w:before="0" w:after="0"/>
              <w:rPr>
                <w:rFonts w:cs="Calibri"/>
                <w:color w:val="000000"/>
                <w:lang w:val="en-US" w:eastAsia="zh-CN"/>
              </w:rPr>
            </w:pPr>
            <w:r w:rsidRPr="00A53750">
              <w:t>2.56%</w:t>
            </w:r>
          </w:p>
        </w:tc>
      </w:tr>
      <w:tr w:rsidR="00B526D8" w:rsidRPr="00F02FF9" w14:paraId="15D92A87"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17935D86"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S&amp;P HEALTH CARE</w:t>
            </w:r>
          </w:p>
        </w:tc>
        <w:tc>
          <w:tcPr>
            <w:tcW w:w="1081" w:type="dxa"/>
            <w:tcBorders>
              <w:top w:val="nil"/>
              <w:left w:val="nil"/>
              <w:bottom w:val="single" w:sz="8" w:space="0" w:color="auto"/>
              <w:right w:val="single" w:sz="8" w:space="0" w:color="auto"/>
            </w:tcBorders>
            <w:noWrap/>
            <w:vAlign w:val="center"/>
            <w:hideMark/>
          </w:tcPr>
          <w:p w14:paraId="0B779A73"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IUHC.L</w:t>
            </w:r>
          </w:p>
        </w:tc>
        <w:tc>
          <w:tcPr>
            <w:tcW w:w="1711" w:type="dxa"/>
            <w:tcBorders>
              <w:top w:val="nil"/>
              <w:left w:val="nil"/>
              <w:bottom w:val="single" w:sz="8" w:space="0" w:color="auto"/>
              <w:right w:val="single" w:sz="8" w:space="0" w:color="auto"/>
            </w:tcBorders>
            <w:noWrap/>
            <w:vAlign w:val="center"/>
            <w:hideMark/>
          </w:tcPr>
          <w:p w14:paraId="066CED2C"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IE00B43HR379</w:t>
            </w:r>
          </w:p>
        </w:tc>
        <w:tc>
          <w:tcPr>
            <w:tcW w:w="1727" w:type="dxa"/>
            <w:tcBorders>
              <w:top w:val="nil"/>
              <w:left w:val="nil"/>
              <w:bottom w:val="single" w:sz="8" w:space="0" w:color="auto"/>
              <w:right w:val="single" w:sz="8" w:space="0" w:color="auto"/>
            </w:tcBorders>
            <w:noWrap/>
          </w:tcPr>
          <w:p w14:paraId="1BD357BA" w14:textId="77777777" w:rsidR="00B526D8" w:rsidRPr="00F02FF9" w:rsidRDefault="00B526D8" w:rsidP="00503337">
            <w:pPr>
              <w:spacing w:before="0" w:after="0"/>
              <w:rPr>
                <w:rFonts w:cs="Calibri"/>
                <w:color w:val="000000"/>
                <w:lang w:val="en-US" w:eastAsia="zh-CN"/>
              </w:rPr>
            </w:pPr>
            <w:r w:rsidRPr="00A53750">
              <w:t>4.52%</w:t>
            </w:r>
          </w:p>
        </w:tc>
      </w:tr>
      <w:tr w:rsidR="00B526D8" w:rsidRPr="00F02FF9" w14:paraId="229E1D83"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47413A1C"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ISHARES S&amp;P 500 INF TECH SECTOR UCITS ETF USD(ACC)</w:t>
            </w:r>
          </w:p>
        </w:tc>
        <w:tc>
          <w:tcPr>
            <w:tcW w:w="1081" w:type="dxa"/>
            <w:tcBorders>
              <w:top w:val="nil"/>
              <w:left w:val="nil"/>
              <w:bottom w:val="single" w:sz="8" w:space="0" w:color="auto"/>
              <w:right w:val="single" w:sz="8" w:space="0" w:color="auto"/>
            </w:tcBorders>
            <w:noWrap/>
            <w:vAlign w:val="center"/>
            <w:hideMark/>
          </w:tcPr>
          <w:p w14:paraId="2C5F1F7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IUIT.L</w:t>
            </w:r>
          </w:p>
        </w:tc>
        <w:tc>
          <w:tcPr>
            <w:tcW w:w="1711" w:type="dxa"/>
            <w:tcBorders>
              <w:top w:val="nil"/>
              <w:left w:val="nil"/>
              <w:bottom w:val="single" w:sz="8" w:space="0" w:color="auto"/>
              <w:right w:val="single" w:sz="8" w:space="0" w:color="auto"/>
            </w:tcBorders>
            <w:noWrap/>
            <w:vAlign w:val="center"/>
            <w:hideMark/>
          </w:tcPr>
          <w:p w14:paraId="5845C84E"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IE00B3WJKG14</w:t>
            </w:r>
          </w:p>
        </w:tc>
        <w:tc>
          <w:tcPr>
            <w:tcW w:w="1727" w:type="dxa"/>
            <w:tcBorders>
              <w:top w:val="nil"/>
              <w:left w:val="nil"/>
              <w:bottom w:val="single" w:sz="8" w:space="0" w:color="auto"/>
              <w:right w:val="single" w:sz="8" w:space="0" w:color="auto"/>
            </w:tcBorders>
            <w:noWrap/>
          </w:tcPr>
          <w:p w14:paraId="08223028" w14:textId="77777777" w:rsidR="00B526D8" w:rsidRPr="00F02FF9" w:rsidRDefault="00B526D8" w:rsidP="00503337">
            <w:pPr>
              <w:spacing w:before="0" w:after="0"/>
              <w:rPr>
                <w:rFonts w:cs="Calibri"/>
                <w:color w:val="000000"/>
                <w:lang w:val="en-US" w:eastAsia="zh-CN"/>
              </w:rPr>
            </w:pPr>
            <w:r w:rsidRPr="00A53750">
              <w:t>5.45%</w:t>
            </w:r>
          </w:p>
        </w:tc>
      </w:tr>
      <w:tr w:rsidR="00B526D8" w:rsidRPr="00F02FF9" w14:paraId="321F3A79"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26DF0029"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VANFTSEDVAPACX/d</w:t>
            </w:r>
          </w:p>
        </w:tc>
        <w:tc>
          <w:tcPr>
            <w:tcW w:w="1081" w:type="dxa"/>
            <w:tcBorders>
              <w:top w:val="nil"/>
              <w:left w:val="nil"/>
              <w:bottom w:val="single" w:sz="8" w:space="0" w:color="auto"/>
              <w:right w:val="single" w:sz="8" w:space="0" w:color="auto"/>
            </w:tcBorders>
            <w:noWrap/>
            <w:vAlign w:val="center"/>
            <w:hideMark/>
          </w:tcPr>
          <w:p w14:paraId="5415E901"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VAPU.L</w:t>
            </w:r>
          </w:p>
        </w:tc>
        <w:tc>
          <w:tcPr>
            <w:tcW w:w="1711" w:type="dxa"/>
            <w:tcBorders>
              <w:top w:val="nil"/>
              <w:left w:val="nil"/>
              <w:bottom w:val="single" w:sz="8" w:space="0" w:color="auto"/>
              <w:right w:val="single" w:sz="8" w:space="0" w:color="auto"/>
            </w:tcBorders>
            <w:noWrap/>
            <w:vAlign w:val="center"/>
            <w:hideMark/>
          </w:tcPr>
          <w:p w14:paraId="6798A979"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IE00BK5BQZ41</w:t>
            </w:r>
          </w:p>
        </w:tc>
        <w:tc>
          <w:tcPr>
            <w:tcW w:w="1727" w:type="dxa"/>
            <w:tcBorders>
              <w:top w:val="nil"/>
              <w:left w:val="nil"/>
              <w:bottom w:val="single" w:sz="8" w:space="0" w:color="auto"/>
              <w:right w:val="single" w:sz="8" w:space="0" w:color="auto"/>
            </w:tcBorders>
            <w:noWrap/>
          </w:tcPr>
          <w:p w14:paraId="66AA6630" w14:textId="77777777" w:rsidR="00B526D8" w:rsidRPr="00F02FF9" w:rsidRDefault="00B526D8" w:rsidP="00503337">
            <w:pPr>
              <w:spacing w:before="0" w:after="0"/>
              <w:rPr>
                <w:rFonts w:cs="Calibri"/>
                <w:color w:val="000000"/>
                <w:lang w:val="en-US" w:eastAsia="zh-CN"/>
              </w:rPr>
            </w:pPr>
            <w:r w:rsidRPr="00A53750">
              <w:t>2.02%</w:t>
            </w:r>
          </w:p>
        </w:tc>
      </w:tr>
      <w:tr w:rsidR="00B526D8" w:rsidRPr="00F02FF9" w14:paraId="18EE4771" w14:textId="77777777" w:rsidTr="00503337">
        <w:trPr>
          <w:trHeight w:val="480"/>
        </w:trPr>
        <w:tc>
          <w:tcPr>
            <w:tcW w:w="5099" w:type="dxa"/>
            <w:tcBorders>
              <w:top w:val="nil"/>
              <w:left w:val="single" w:sz="8" w:space="0" w:color="auto"/>
              <w:bottom w:val="single" w:sz="8" w:space="0" w:color="auto"/>
              <w:right w:val="single" w:sz="8" w:space="0" w:color="auto"/>
            </w:tcBorders>
            <w:noWrap/>
            <w:vAlign w:val="center"/>
            <w:hideMark/>
          </w:tcPr>
          <w:p w14:paraId="7312F12C"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VANG FTSE DEX EURA</w:t>
            </w:r>
          </w:p>
        </w:tc>
        <w:tc>
          <w:tcPr>
            <w:tcW w:w="1081" w:type="dxa"/>
            <w:tcBorders>
              <w:top w:val="nil"/>
              <w:left w:val="nil"/>
              <w:bottom w:val="single" w:sz="8" w:space="0" w:color="auto"/>
              <w:right w:val="single" w:sz="8" w:space="0" w:color="auto"/>
            </w:tcBorders>
            <w:noWrap/>
            <w:vAlign w:val="center"/>
            <w:hideMark/>
          </w:tcPr>
          <w:p w14:paraId="38BB0E2F"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VERE.L</w:t>
            </w:r>
          </w:p>
        </w:tc>
        <w:tc>
          <w:tcPr>
            <w:tcW w:w="1711" w:type="dxa"/>
            <w:tcBorders>
              <w:top w:val="nil"/>
              <w:left w:val="nil"/>
              <w:bottom w:val="single" w:sz="8" w:space="0" w:color="auto"/>
              <w:right w:val="single" w:sz="8" w:space="0" w:color="auto"/>
            </w:tcBorders>
            <w:noWrap/>
            <w:vAlign w:val="center"/>
            <w:hideMark/>
          </w:tcPr>
          <w:p w14:paraId="7B1BFBCF"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IE00BK5BQY34</w:t>
            </w:r>
          </w:p>
        </w:tc>
        <w:tc>
          <w:tcPr>
            <w:tcW w:w="1727" w:type="dxa"/>
            <w:tcBorders>
              <w:top w:val="nil"/>
              <w:left w:val="nil"/>
              <w:bottom w:val="single" w:sz="8" w:space="0" w:color="auto"/>
              <w:right w:val="single" w:sz="8" w:space="0" w:color="auto"/>
            </w:tcBorders>
            <w:noWrap/>
          </w:tcPr>
          <w:p w14:paraId="7B983320" w14:textId="77777777" w:rsidR="00B526D8" w:rsidRPr="00F02FF9" w:rsidRDefault="00B526D8" w:rsidP="00503337">
            <w:pPr>
              <w:spacing w:before="0" w:after="0"/>
              <w:rPr>
                <w:rFonts w:cs="Calibri"/>
                <w:color w:val="000000"/>
                <w:lang w:val="en-US" w:eastAsia="zh-CN"/>
              </w:rPr>
            </w:pPr>
            <w:r w:rsidRPr="00A53750">
              <w:t>5.32%</w:t>
            </w:r>
          </w:p>
        </w:tc>
      </w:tr>
      <w:tr w:rsidR="00B526D8" w:rsidRPr="00F02FF9" w14:paraId="20D370DD" w14:textId="77777777" w:rsidTr="00503337">
        <w:trPr>
          <w:trHeight w:val="480"/>
        </w:trPr>
        <w:tc>
          <w:tcPr>
            <w:tcW w:w="5099" w:type="dxa"/>
            <w:tcBorders>
              <w:top w:val="nil"/>
              <w:left w:val="single" w:sz="8" w:space="0" w:color="auto"/>
              <w:bottom w:val="single" w:sz="4" w:space="0" w:color="auto"/>
              <w:right w:val="single" w:sz="8" w:space="0" w:color="auto"/>
            </w:tcBorders>
            <w:noWrap/>
            <w:vAlign w:val="center"/>
            <w:hideMark/>
          </w:tcPr>
          <w:p w14:paraId="0837746C"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ETFS SWISS GOL/d</w:t>
            </w:r>
          </w:p>
        </w:tc>
        <w:tc>
          <w:tcPr>
            <w:tcW w:w="1081" w:type="dxa"/>
            <w:tcBorders>
              <w:top w:val="nil"/>
              <w:left w:val="nil"/>
              <w:bottom w:val="single" w:sz="4" w:space="0" w:color="auto"/>
              <w:right w:val="single" w:sz="8" w:space="0" w:color="auto"/>
            </w:tcBorders>
            <w:noWrap/>
            <w:vAlign w:val="center"/>
            <w:hideMark/>
          </w:tcPr>
          <w:p w14:paraId="527A19D1"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SGBS.L</w:t>
            </w:r>
          </w:p>
        </w:tc>
        <w:tc>
          <w:tcPr>
            <w:tcW w:w="1711" w:type="dxa"/>
            <w:tcBorders>
              <w:top w:val="nil"/>
              <w:left w:val="nil"/>
              <w:bottom w:val="single" w:sz="4" w:space="0" w:color="auto"/>
              <w:right w:val="single" w:sz="8" w:space="0" w:color="auto"/>
            </w:tcBorders>
            <w:noWrap/>
            <w:vAlign w:val="center"/>
            <w:hideMark/>
          </w:tcPr>
          <w:p w14:paraId="313D44D0" w14:textId="77777777" w:rsidR="00B526D8" w:rsidRPr="00F02FF9" w:rsidRDefault="00B526D8" w:rsidP="00503337">
            <w:pPr>
              <w:spacing w:before="0" w:after="0"/>
              <w:rPr>
                <w:rFonts w:cs="Calibri"/>
                <w:color w:val="000000"/>
                <w:lang w:val="en-US" w:eastAsia="zh-CN"/>
              </w:rPr>
            </w:pPr>
            <w:r w:rsidRPr="00F02FF9">
              <w:rPr>
                <w:rFonts w:cs="Calibri"/>
                <w:color w:val="000000"/>
                <w:lang w:val="en-US" w:eastAsia="zh-CN"/>
              </w:rPr>
              <w:t>JE00B588CD74</w:t>
            </w:r>
          </w:p>
        </w:tc>
        <w:tc>
          <w:tcPr>
            <w:tcW w:w="1727" w:type="dxa"/>
            <w:tcBorders>
              <w:top w:val="nil"/>
              <w:left w:val="nil"/>
              <w:bottom w:val="single" w:sz="4" w:space="0" w:color="auto"/>
              <w:right w:val="single" w:sz="8" w:space="0" w:color="auto"/>
            </w:tcBorders>
            <w:noWrap/>
          </w:tcPr>
          <w:p w14:paraId="1685A9E5" w14:textId="77777777" w:rsidR="00B526D8" w:rsidRPr="00F02FF9" w:rsidRDefault="00B526D8" w:rsidP="00503337">
            <w:pPr>
              <w:spacing w:before="0" w:after="0"/>
              <w:rPr>
                <w:rFonts w:cs="Calibri"/>
                <w:color w:val="000000"/>
                <w:lang w:val="en-US" w:eastAsia="zh-CN"/>
              </w:rPr>
            </w:pPr>
            <w:r w:rsidRPr="00A53750">
              <w:t>2.04%</w:t>
            </w:r>
          </w:p>
        </w:tc>
      </w:tr>
      <w:tr w:rsidR="00B526D8" w:rsidRPr="00005D44" w14:paraId="66417368" w14:textId="77777777" w:rsidTr="00503337">
        <w:trPr>
          <w:trHeight w:val="480"/>
        </w:trPr>
        <w:tc>
          <w:tcPr>
            <w:tcW w:w="5099" w:type="dxa"/>
            <w:tcBorders>
              <w:top w:val="single" w:sz="4" w:space="0" w:color="auto"/>
              <w:left w:val="single" w:sz="4" w:space="0" w:color="auto"/>
              <w:bottom w:val="single" w:sz="4" w:space="0" w:color="auto"/>
              <w:right w:val="single" w:sz="8" w:space="0" w:color="auto"/>
            </w:tcBorders>
            <w:noWrap/>
            <w:vAlign w:val="center"/>
          </w:tcPr>
          <w:p w14:paraId="6A9D8A60" w14:textId="77777777" w:rsidR="00B526D8" w:rsidRPr="00F02FF9" w:rsidRDefault="00B526D8" w:rsidP="00503337">
            <w:pPr>
              <w:spacing w:before="0" w:after="0"/>
              <w:rPr>
                <w:rFonts w:cs="Calibri"/>
                <w:color w:val="000000"/>
                <w:lang w:val="en-US" w:eastAsia="zh-CN"/>
              </w:rPr>
            </w:pPr>
            <w:r w:rsidRPr="00905372">
              <w:rPr>
                <w:rFonts w:cs="Calibri"/>
                <w:color w:val="000000"/>
                <w:lang w:val="en-US" w:eastAsia="zh-CN"/>
              </w:rPr>
              <w:t>iShares S&amp;P 500 Financials Sector UCITS ETF USD A</w:t>
            </w:r>
          </w:p>
        </w:tc>
        <w:tc>
          <w:tcPr>
            <w:tcW w:w="1081" w:type="dxa"/>
            <w:tcBorders>
              <w:top w:val="single" w:sz="4" w:space="0" w:color="auto"/>
              <w:left w:val="nil"/>
              <w:bottom w:val="single" w:sz="4" w:space="0" w:color="auto"/>
              <w:right w:val="single" w:sz="8" w:space="0" w:color="auto"/>
            </w:tcBorders>
            <w:noWrap/>
            <w:vAlign w:val="center"/>
          </w:tcPr>
          <w:p w14:paraId="38D278A4" w14:textId="77777777" w:rsidR="00B526D8" w:rsidRPr="00F02FF9" w:rsidRDefault="00B526D8" w:rsidP="00503337">
            <w:pPr>
              <w:spacing w:before="0" w:after="0"/>
              <w:rPr>
                <w:rFonts w:cs="Calibri"/>
                <w:color w:val="000000"/>
                <w:lang w:val="en-US" w:eastAsia="zh-CN"/>
              </w:rPr>
            </w:pPr>
            <w:r w:rsidRPr="00905372">
              <w:rPr>
                <w:rFonts w:cs="Calibri"/>
                <w:color w:val="000000"/>
                <w:lang w:eastAsia="zh-CN"/>
              </w:rPr>
              <w:t>IUFS.L</w:t>
            </w:r>
          </w:p>
        </w:tc>
        <w:tc>
          <w:tcPr>
            <w:tcW w:w="1711" w:type="dxa"/>
            <w:tcBorders>
              <w:top w:val="single" w:sz="4" w:space="0" w:color="auto"/>
              <w:left w:val="nil"/>
              <w:bottom w:val="single" w:sz="4" w:space="0" w:color="auto"/>
              <w:right w:val="single" w:sz="8" w:space="0" w:color="auto"/>
            </w:tcBorders>
            <w:noWrap/>
            <w:vAlign w:val="center"/>
          </w:tcPr>
          <w:p w14:paraId="7D6AF767" w14:textId="77777777" w:rsidR="00B526D8" w:rsidRPr="00F02FF9" w:rsidRDefault="00B526D8" w:rsidP="00503337">
            <w:pPr>
              <w:spacing w:before="0" w:after="0"/>
              <w:rPr>
                <w:rFonts w:cs="Calibri"/>
                <w:color w:val="000000"/>
                <w:lang w:val="en-US" w:eastAsia="zh-CN"/>
              </w:rPr>
            </w:pPr>
            <w:r w:rsidRPr="00B34F95">
              <w:rPr>
                <w:rFonts w:cs="Calibri"/>
                <w:color w:val="000000"/>
                <w:lang w:val="en-US" w:eastAsia="zh-CN"/>
              </w:rPr>
              <w:t>IE00B4JNQZ49</w:t>
            </w:r>
          </w:p>
        </w:tc>
        <w:tc>
          <w:tcPr>
            <w:tcW w:w="1727" w:type="dxa"/>
            <w:tcBorders>
              <w:top w:val="single" w:sz="4" w:space="0" w:color="auto"/>
              <w:left w:val="nil"/>
              <w:bottom w:val="single" w:sz="4" w:space="0" w:color="auto"/>
              <w:right w:val="single" w:sz="4" w:space="0" w:color="auto"/>
            </w:tcBorders>
            <w:noWrap/>
            <w:vAlign w:val="bottom"/>
          </w:tcPr>
          <w:p w14:paraId="0BA223BB" w14:textId="77777777" w:rsidR="00B526D8" w:rsidRPr="00005D44" w:rsidRDefault="00B526D8" w:rsidP="00503337">
            <w:pPr>
              <w:spacing w:before="0" w:after="0"/>
              <w:rPr>
                <w:rFonts w:cs="Calibri"/>
                <w:color w:val="000000"/>
                <w:lang w:val="en-US" w:eastAsia="zh-CN"/>
              </w:rPr>
            </w:pPr>
            <w:r>
              <w:rPr>
                <w:rFonts w:cs="Calibri"/>
                <w:color w:val="000000"/>
                <w:lang w:val="en-US" w:eastAsia="zh-CN"/>
              </w:rPr>
              <w:t>2.00%</w:t>
            </w:r>
          </w:p>
        </w:tc>
      </w:tr>
      <w:tr w:rsidR="00B526D8" w:rsidRPr="00005D44" w14:paraId="651D005C" w14:textId="77777777" w:rsidTr="00503337">
        <w:trPr>
          <w:trHeight w:val="480"/>
        </w:trPr>
        <w:tc>
          <w:tcPr>
            <w:tcW w:w="5099" w:type="dxa"/>
            <w:tcBorders>
              <w:top w:val="single" w:sz="4" w:space="0" w:color="auto"/>
              <w:left w:val="single" w:sz="4" w:space="0" w:color="auto"/>
              <w:bottom w:val="single" w:sz="4" w:space="0" w:color="auto"/>
              <w:right w:val="single" w:sz="8" w:space="0" w:color="auto"/>
            </w:tcBorders>
            <w:noWrap/>
            <w:vAlign w:val="center"/>
          </w:tcPr>
          <w:p w14:paraId="77F538A4" w14:textId="77777777" w:rsidR="00B526D8" w:rsidRPr="00F02FF9" w:rsidRDefault="00B526D8" w:rsidP="00503337">
            <w:pPr>
              <w:spacing w:before="0" w:after="0"/>
              <w:rPr>
                <w:rFonts w:cs="Calibri"/>
                <w:color w:val="000000"/>
                <w:lang w:val="en-US" w:eastAsia="zh-CN"/>
              </w:rPr>
            </w:pPr>
            <w:r w:rsidRPr="00905372">
              <w:rPr>
                <w:rFonts w:cs="Calibri"/>
                <w:color w:val="000000"/>
                <w:lang w:val="en-US" w:eastAsia="zh-CN"/>
              </w:rPr>
              <w:t>iShares S&amp;P 500 Industrials Sector UCITS ETF</w:t>
            </w:r>
          </w:p>
        </w:tc>
        <w:tc>
          <w:tcPr>
            <w:tcW w:w="1081" w:type="dxa"/>
            <w:tcBorders>
              <w:top w:val="single" w:sz="4" w:space="0" w:color="auto"/>
              <w:left w:val="nil"/>
              <w:bottom w:val="single" w:sz="4" w:space="0" w:color="auto"/>
              <w:right w:val="single" w:sz="8" w:space="0" w:color="auto"/>
            </w:tcBorders>
            <w:noWrap/>
            <w:vAlign w:val="center"/>
          </w:tcPr>
          <w:p w14:paraId="158ADFF2" w14:textId="77777777" w:rsidR="00B526D8" w:rsidRPr="00F02FF9" w:rsidRDefault="00B526D8" w:rsidP="00503337">
            <w:pPr>
              <w:spacing w:before="0" w:after="0"/>
              <w:rPr>
                <w:rFonts w:cs="Calibri"/>
                <w:color w:val="000000"/>
                <w:lang w:val="en-US" w:eastAsia="zh-CN"/>
              </w:rPr>
            </w:pPr>
            <w:r w:rsidRPr="00905372">
              <w:rPr>
                <w:rFonts w:cs="Calibri"/>
                <w:color w:val="000000"/>
                <w:lang w:eastAsia="zh-CN"/>
              </w:rPr>
              <w:t>IUIS.L</w:t>
            </w:r>
          </w:p>
        </w:tc>
        <w:tc>
          <w:tcPr>
            <w:tcW w:w="1711" w:type="dxa"/>
            <w:tcBorders>
              <w:top w:val="single" w:sz="4" w:space="0" w:color="auto"/>
              <w:left w:val="nil"/>
              <w:bottom w:val="single" w:sz="4" w:space="0" w:color="auto"/>
              <w:right w:val="single" w:sz="8" w:space="0" w:color="auto"/>
            </w:tcBorders>
            <w:noWrap/>
            <w:vAlign w:val="center"/>
          </w:tcPr>
          <w:p w14:paraId="0BBDFDD7" w14:textId="77777777" w:rsidR="00B526D8" w:rsidRPr="00F02FF9" w:rsidRDefault="00B526D8" w:rsidP="00503337">
            <w:pPr>
              <w:spacing w:before="0" w:after="0"/>
              <w:rPr>
                <w:rFonts w:cs="Calibri"/>
                <w:color w:val="000000"/>
                <w:lang w:val="en-US" w:eastAsia="zh-CN"/>
              </w:rPr>
            </w:pPr>
            <w:r w:rsidRPr="00B34F95">
              <w:rPr>
                <w:rFonts w:cs="Calibri"/>
                <w:color w:val="000000"/>
                <w:lang w:val="en-US" w:eastAsia="zh-CN"/>
              </w:rPr>
              <w:t>IE00B4LN9N13</w:t>
            </w:r>
          </w:p>
        </w:tc>
        <w:tc>
          <w:tcPr>
            <w:tcW w:w="1727" w:type="dxa"/>
            <w:tcBorders>
              <w:top w:val="single" w:sz="4" w:space="0" w:color="auto"/>
              <w:left w:val="nil"/>
              <w:bottom w:val="single" w:sz="4" w:space="0" w:color="auto"/>
              <w:right w:val="single" w:sz="4" w:space="0" w:color="auto"/>
            </w:tcBorders>
            <w:noWrap/>
            <w:vAlign w:val="bottom"/>
          </w:tcPr>
          <w:p w14:paraId="12BFDA0E" w14:textId="77777777" w:rsidR="00B526D8" w:rsidRPr="00005D44" w:rsidRDefault="00B526D8" w:rsidP="00503337">
            <w:pPr>
              <w:spacing w:before="0" w:after="0"/>
              <w:rPr>
                <w:rFonts w:cs="Calibri"/>
                <w:color w:val="000000"/>
                <w:lang w:val="en-US" w:eastAsia="zh-CN"/>
              </w:rPr>
            </w:pPr>
            <w:r>
              <w:rPr>
                <w:rFonts w:cs="Calibri"/>
                <w:color w:val="000000"/>
                <w:lang w:val="en-US" w:eastAsia="zh-CN"/>
              </w:rPr>
              <w:t>2.00%</w:t>
            </w:r>
          </w:p>
        </w:tc>
      </w:tr>
      <w:tr w:rsidR="00B526D8" w:rsidRPr="00005D44" w14:paraId="239BA613" w14:textId="77777777" w:rsidTr="00503337">
        <w:trPr>
          <w:trHeight w:val="480"/>
        </w:trPr>
        <w:tc>
          <w:tcPr>
            <w:tcW w:w="5099" w:type="dxa"/>
            <w:tcBorders>
              <w:top w:val="single" w:sz="4" w:space="0" w:color="auto"/>
              <w:left w:val="single" w:sz="8" w:space="0" w:color="auto"/>
              <w:bottom w:val="single" w:sz="4" w:space="0" w:color="auto"/>
              <w:right w:val="single" w:sz="8" w:space="0" w:color="auto"/>
            </w:tcBorders>
            <w:noWrap/>
            <w:vAlign w:val="center"/>
          </w:tcPr>
          <w:p w14:paraId="24A3A8E2" w14:textId="77777777" w:rsidR="00B526D8" w:rsidRPr="00F02FF9" w:rsidRDefault="00B526D8" w:rsidP="00503337">
            <w:pPr>
              <w:spacing w:before="0" w:after="0"/>
              <w:rPr>
                <w:rFonts w:cs="Calibri"/>
                <w:color w:val="000000"/>
                <w:lang w:val="en-US" w:eastAsia="zh-CN"/>
              </w:rPr>
            </w:pPr>
            <w:r w:rsidRPr="00B34F95">
              <w:rPr>
                <w:rFonts w:cs="Calibri"/>
                <w:color w:val="000000"/>
                <w:lang w:eastAsia="zh-CN"/>
              </w:rPr>
              <w:t>STRATEGY INC-CL A</w:t>
            </w:r>
          </w:p>
        </w:tc>
        <w:tc>
          <w:tcPr>
            <w:tcW w:w="1081" w:type="dxa"/>
            <w:tcBorders>
              <w:top w:val="single" w:sz="4" w:space="0" w:color="auto"/>
              <w:left w:val="nil"/>
              <w:bottom w:val="single" w:sz="4" w:space="0" w:color="auto"/>
              <w:right w:val="single" w:sz="8" w:space="0" w:color="auto"/>
            </w:tcBorders>
            <w:noWrap/>
            <w:vAlign w:val="center"/>
          </w:tcPr>
          <w:p w14:paraId="3592A950" w14:textId="77777777" w:rsidR="00B526D8" w:rsidRPr="00F02FF9" w:rsidRDefault="00B526D8" w:rsidP="00503337">
            <w:pPr>
              <w:spacing w:before="0" w:after="0"/>
              <w:rPr>
                <w:rFonts w:cs="Calibri"/>
                <w:color w:val="000000"/>
                <w:lang w:val="en-US" w:eastAsia="zh-CN"/>
              </w:rPr>
            </w:pPr>
            <w:r>
              <w:rPr>
                <w:rFonts w:cs="Calibri"/>
                <w:color w:val="000000"/>
                <w:lang w:val="en-US" w:eastAsia="zh-CN"/>
              </w:rPr>
              <w:t>MSTR.OQ</w:t>
            </w:r>
          </w:p>
        </w:tc>
        <w:tc>
          <w:tcPr>
            <w:tcW w:w="1711" w:type="dxa"/>
            <w:tcBorders>
              <w:top w:val="single" w:sz="4" w:space="0" w:color="auto"/>
              <w:left w:val="nil"/>
              <w:bottom w:val="single" w:sz="4" w:space="0" w:color="auto"/>
              <w:right w:val="single" w:sz="8" w:space="0" w:color="auto"/>
            </w:tcBorders>
            <w:noWrap/>
            <w:vAlign w:val="center"/>
          </w:tcPr>
          <w:p w14:paraId="56763947" w14:textId="77777777" w:rsidR="00B526D8" w:rsidRPr="00F02FF9" w:rsidRDefault="00B526D8" w:rsidP="00503337">
            <w:pPr>
              <w:spacing w:before="0" w:after="0"/>
              <w:rPr>
                <w:rFonts w:cs="Calibri"/>
                <w:color w:val="000000"/>
                <w:lang w:val="en-US" w:eastAsia="zh-CN"/>
              </w:rPr>
            </w:pPr>
            <w:r w:rsidRPr="00B34F95">
              <w:rPr>
                <w:rFonts w:cs="Calibri"/>
                <w:color w:val="000000"/>
                <w:lang w:eastAsia="zh-CN"/>
              </w:rPr>
              <w:t>US5949724083</w:t>
            </w:r>
          </w:p>
        </w:tc>
        <w:tc>
          <w:tcPr>
            <w:tcW w:w="1727" w:type="dxa"/>
            <w:tcBorders>
              <w:top w:val="single" w:sz="4" w:space="0" w:color="auto"/>
              <w:left w:val="nil"/>
              <w:bottom w:val="single" w:sz="4" w:space="0" w:color="auto"/>
              <w:right w:val="single" w:sz="8" w:space="0" w:color="auto"/>
            </w:tcBorders>
            <w:noWrap/>
            <w:vAlign w:val="bottom"/>
          </w:tcPr>
          <w:p w14:paraId="1080431F" w14:textId="77777777" w:rsidR="00B526D8" w:rsidRPr="00005D44" w:rsidRDefault="00B526D8" w:rsidP="00503337">
            <w:pPr>
              <w:spacing w:before="0" w:after="0"/>
              <w:rPr>
                <w:rFonts w:cs="Calibri"/>
                <w:color w:val="000000"/>
                <w:lang w:val="en-US" w:eastAsia="zh-CN"/>
              </w:rPr>
            </w:pPr>
            <w:r>
              <w:rPr>
                <w:rFonts w:cs="Calibri"/>
                <w:color w:val="000000"/>
                <w:lang w:val="en-US" w:eastAsia="zh-CN"/>
              </w:rPr>
              <w:t>0.75%</w:t>
            </w:r>
          </w:p>
        </w:tc>
      </w:tr>
      <w:tr w:rsidR="00B526D8" w:rsidRPr="00005D44" w14:paraId="1D7D9BEB" w14:textId="77777777" w:rsidTr="00503337">
        <w:trPr>
          <w:trHeight w:val="480"/>
        </w:trPr>
        <w:tc>
          <w:tcPr>
            <w:tcW w:w="5099" w:type="dxa"/>
            <w:tcBorders>
              <w:top w:val="single" w:sz="4" w:space="0" w:color="auto"/>
              <w:left w:val="single" w:sz="8" w:space="0" w:color="auto"/>
              <w:bottom w:val="single" w:sz="8" w:space="0" w:color="auto"/>
              <w:right w:val="single" w:sz="8" w:space="0" w:color="auto"/>
            </w:tcBorders>
            <w:noWrap/>
            <w:vAlign w:val="center"/>
          </w:tcPr>
          <w:p w14:paraId="253EE804" w14:textId="77777777" w:rsidR="00B526D8" w:rsidRPr="00F02FF9" w:rsidRDefault="00B526D8" w:rsidP="00503337">
            <w:pPr>
              <w:spacing w:before="0" w:after="0"/>
              <w:rPr>
                <w:rFonts w:cs="Calibri"/>
                <w:color w:val="000000"/>
                <w:lang w:val="en-US" w:eastAsia="zh-CN"/>
              </w:rPr>
            </w:pPr>
            <w:proofErr w:type="spellStart"/>
            <w:r w:rsidRPr="00905372">
              <w:rPr>
                <w:rFonts w:cs="Calibri"/>
                <w:color w:val="000000"/>
                <w:lang w:val="en-US" w:eastAsia="zh-CN"/>
              </w:rPr>
              <w:t>Amundi</w:t>
            </w:r>
            <w:proofErr w:type="spellEnd"/>
            <w:r w:rsidRPr="00905372">
              <w:rPr>
                <w:rFonts w:cs="Calibri"/>
                <w:color w:val="000000"/>
                <w:lang w:val="en-US" w:eastAsia="zh-CN"/>
              </w:rPr>
              <w:t xml:space="preserve"> MSCI China UCITS ETF Acc</w:t>
            </w:r>
          </w:p>
        </w:tc>
        <w:tc>
          <w:tcPr>
            <w:tcW w:w="1081" w:type="dxa"/>
            <w:tcBorders>
              <w:top w:val="single" w:sz="4" w:space="0" w:color="auto"/>
              <w:left w:val="nil"/>
              <w:bottom w:val="single" w:sz="8" w:space="0" w:color="auto"/>
              <w:right w:val="single" w:sz="8" w:space="0" w:color="auto"/>
            </w:tcBorders>
            <w:noWrap/>
            <w:vAlign w:val="center"/>
          </w:tcPr>
          <w:p w14:paraId="7957B55F" w14:textId="77777777" w:rsidR="00B526D8" w:rsidRPr="00F02FF9" w:rsidRDefault="00B526D8" w:rsidP="00503337">
            <w:pPr>
              <w:spacing w:before="0" w:after="0"/>
              <w:rPr>
                <w:rFonts w:cs="Calibri"/>
                <w:color w:val="000000"/>
                <w:lang w:val="en-US" w:eastAsia="zh-CN"/>
              </w:rPr>
            </w:pPr>
            <w:r w:rsidRPr="00905372">
              <w:rPr>
                <w:rFonts w:cs="Calibri"/>
                <w:color w:val="000000"/>
                <w:lang w:eastAsia="zh-CN"/>
              </w:rPr>
              <w:t>LCCN.L</w:t>
            </w:r>
          </w:p>
        </w:tc>
        <w:tc>
          <w:tcPr>
            <w:tcW w:w="1711" w:type="dxa"/>
            <w:tcBorders>
              <w:top w:val="single" w:sz="4" w:space="0" w:color="auto"/>
              <w:left w:val="nil"/>
              <w:bottom w:val="single" w:sz="8" w:space="0" w:color="auto"/>
              <w:right w:val="single" w:sz="8" w:space="0" w:color="auto"/>
            </w:tcBorders>
            <w:noWrap/>
            <w:vAlign w:val="center"/>
          </w:tcPr>
          <w:p w14:paraId="34D5E823" w14:textId="77777777" w:rsidR="00B526D8" w:rsidRPr="00F02FF9" w:rsidRDefault="00B526D8" w:rsidP="00503337">
            <w:pPr>
              <w:spacing w:before="0" w:after="0"/>
              <w:rPr>
                <w:rFonts w:cs="Calibri"/>
                <w:color w:val="000000"/>
                <w:lang w:val="en-US" w:eastAsia="zh-CN"/>
              </w:rPr>
            </w:pPr>
            <w:r w:rsidRPr="00B34F95">
              <w:rPr>
                <w:rFonts w:cs="Calibri"/>
                <w:color w:val="000000"/>
                <w:lang w:val="en-US" w:eastAsia="zh-CN"/>
              </w:rPr>
              <w:t>LU1841731745</w:t>
            </w:r>
          </w:p>
        </w:tc>
        <w:tc>
          <w:tcPr>
            <w:tcW w:w="1727" w:type="dxa"/>
            <w:tcBorders>
              <w:top w:val="single" w:sz="4" w:space="0" w:color="auto"/>
              <w:left w:val="nil"/>
              <w:bottom w:val="single" w:sz="8" w:space="0" w:color="auto"/>
              <w:right w:val="single" w:sz="8" w:space="0" w:color="auto"/>
            </w:tcBorders>
            <w:noWrap/>
            <w:vAlign w:val="bottom"/>
          </w:tcPr>
          <w:p w14:paraId="0D374C7A" w14:textId="77777777" w:rsidR="00B526D8" w:rsidRPr="00005D44" w:rsidRDefault="00B526D8" w:rsidP="00503337">
            <w:pPr>
              <w:spacing w:before="0" w:after="0"/>
              <w:rPr>
                <w:rFonts w:cs="Calibri"/>
                <w:color w:val="000000"/>
                <w:lang w:val="en-US" w:eastAsia="zh-CN"/>
              </w:rPr>
            </w:pPr>
            <w:r>
              <w:rPr>
                <w:rFonts w:cs="Calibri"/>
                <w:color w:val="000000"/>
                <w:lang w:val="en-US" w:eastAsia="zh-CN"/>
              </w:rPr>
              <w:t>2.00%</w:t>
            </w:r>
          </w:p>
        </w:tc>
      </w:tr>
    </w:tbl>
    <w:p w14:paraId="65F5DC33" w14:textId="0E7C405E" w:rsidR="000F7298" w:rsidRDefault="000F7298" w:rsidP="0026131F">
      <w:pPr>
        <w:spacing w:before="0" w:after="160" w:line="259" w:lineRule="auto"/>
        <w:rPr>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F8AB384"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606714">
        <w:rPr>
          <w:lang w:val="en-US"/>
        </w:rPr>
        <w:t>Solactive</w:t>
      </w:r>
      <w:proofErr w:type="spellEnd"/>
      <w:r w:rsidR="00606714">
        <w:rPr>
          <w:lang w:val="en-US"/>
        </w:rPr>
        <w:t xml:space="preserve"> ILIM New World Index Series</w:t>
      </w:r>
      <w:r w:rsidR="00606714" w:rsidRPr="00C04273" w:rsidDel="00606714">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526D8"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8E2F722"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B526D8">
        <w:rPr>
          <w:i/>
          <w:lang w:val="en-US"/>
        </w:rPr>
        <w:t>2026</w:t>
      </w:r>
      <w:r w:rsidR="00E7099D">
        <w:rPr>
          <w:i/>
          <w:lang w:val="en-US"/>
        </w:rPr>
        <w:t>-</w:t>
      </w:r>
      <w:r w:rsidR="00B526D8">
        <w:rPr>
          <w:i/>
          <w:lang w:val="en-US"/>
        </w:rPr>
        <w:t>03</w:t>
      </w:r>
      <w:r w:rsidR="00E7099D">
        <w:rPr>
          <w:i/>
          <w:lang w:val="en-US"/>
        </w:rPr>
        <w:t>-</w:t>
      </w:r>
      <w:r w:rsidR="00B526D8">
        <w:rPr>
          <w:i/>
          <w:lang w:val="en-US"/>
        </w:rPr>
        <w:t>04</w:t>
      </w:r>
      <w:r w:rsidR="00E7099D">
        <w:rPr>
          <w:i/>
          <w:lang w:val="en-US"/>
        </w:rPr>
        <w:t>.</w:t>
      </w:r>
    </w:p>
    <w:p w14:paraId="741A56A5" w14:textId="19FC7C07" w:rsidR="00651886" w:rsidRPr="00C04273" w:rsidRDefault="00651886" w:rsidP="00651886">
      <w:pPr>
        <w:spacing w:before="0" w:after="0" w:line="360" w:lineRule="auto"/>
        <w:rPr>
          <w:lang w:val="en-US"/>
        </w:rPr>
      </w:pPr>
      <w:r w:rsidRPr="00AA442D">
        <w:rPr>
          <w:lang w:val="en-US"/>
        </w:rPr>
        <w:t>[</w:t>
      </w:r>
      <w:r w:rsidRPr="00FE1081">
        <w:rPr>
          <w:lang w:val="en-US"/>
        </w:rPr>
        <w:t xml:space="preserve">Subject to feedback received on this Market Consultation, the changes mentioned </w:t>
      </w:r>
      <w:r w:rsidRPr="00AA442D">
        <w:rPr>
          <w:lang w:val="en-US"/>
        </w:rPr>
        <w:t xml:space="preserve">above are intended to </w:t>
      </w:r>
      <w:r w:rsidRPr="00FE1081">
        <w:rPr>
          <w:lang w:val="en-US"/>
        </w:rPr>
        <w:t xml:space="preserve">become effective on </w:t>
      </w:r>
      <w:r w:rsidR="00B526D8">
        <w:rPr>
          <w:i/>
          <w:lang w:val="en-US"/>
        </w:rPr>
        <w:t>2026</w:t>
      </w:r>
      <w:r w:rsidR="00E7099D">
        <w:rPr>
          <w:i/>
          <w:lang w:val="en-US"/>
        </w:rPr>
        <w:t>-</w:t>
      </w:r>
      <w:r w:rsidR="00B526D8">
        <w:rPr>
          <w:i/>
          <w:lang w:val="en-US"/>
        </w:rPr>
        <w:t>03</w:t>
      </w:r>
      <w:r w:rsidR="00E7099D">
        <w:rPr>
          <w:i/>
          <w:lang w:val="en-US"/>
        </w:rPr>
        <w:t>-</w:t>
      </w:r>
      <w:r w:rsidR="00B526D8">
        <w:rPr>
          <w:i/>
          <w:lang w:val="en-US"/>
        </w:rPr>
        <w:t>18</w:t>
      </w:r>
      <w:r w:rsidR="00E7099D">
        <w:rPr>
          <w:i/>
          <w:lang w:val="en-US"/>
        </w:rPr>
        <w:t>.</w:t>
      </w:r>
    </w:p>
    <w:p w14:paraId="0D223365" w14:textId="77777777" w:rsidR="00651886" w:rsidRPr="00C04273" w:rsidRDefault="00651886" w:rsidP="005055F5">
      <w:pPr>
        <w:spacing w:before="0" w:after="0" w:line="360" w:lineRule="auto"/>
        <w:rPr>
          <w:lang w:val="en-US"/>
        </w:rPr>
      </w:pPr>
    </w:p>
    <w:p w14:paraId="04131284" w14:textId="353F774D"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proofErr w:type="spellStart"/>
      <w:r w:rsidR="00E7099D">
        <w:rPr>
          <w:lang w:val="en-US"/>
        </w:rPr>
        <w:t>Solactive</w:t>
      </w:r>
      <w:proofErr w:type="spellEnd"/>
      <w:r w:rsidR="00E7099D">
        <w:rPr>
          <w:lang w:val="en-US"/>
        </w:rPr>
        <w:t xml:space="preserve"> ILIM New World Index Series</w:t>
      </w:r>
      <w:r w:rsidR="0026131F" w:rsidRPr="00AA442D">
        <w:rPr>
          <w:lang w:val="en-US"/>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AA442D" w:rsidRDefault="003D0D25" w:rsidP="003D0D25">
      <w:pPr>
        <w:spacing w:after="0"/>
        <w:ind w:left="1416" w:firstLine="708"/>
        <w:rPr>
          <w:lang w:val="en-US"/>
        </w:rPr>
      </w:pPr>
      <w:r w:rsidRPr="00AA442D">
        <w:rPr>
          <w:lang w:val="en-US"/>
        </w:rPr>
        <w:t>Germany</w:t>
      </w:r>
    </w:p>
    <w:p w14:paraId="752A804F" w14:textId="7A894BF5" w:rsidR="00753C1C" w:rsidRPr="00AA442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lastRenderedPageBreak/>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AA442D"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A3DCFB-1199-4183-A428-3CBCC3106694}"/>
    <w:embedBold r:id="rId2" w:fontKey="{C14CC420-237E-46D4-973B-1EE56EA9B283}"/>
  </w:font>
  <w:font w:name="Flama Semicondensed Light">
    <w:altName w:val="Calibri"/>
    <w:panose1 w:val="02000000000000000000"/>
    <w:charset w:val="00"/>
    <w:family w:val="auto"/>
    <w:pitch w:val="variable"/>
    <w:sig w:usb0="A00000AF" w:usb1="4000207B" w:usb2="00000000" w:usb3="00000000" w:csb0="0000008B" w:csb1="00000000"/>
    <w:embedRegular r:id="rId3" w:fontKey="{E9BDC1FF-6AC0-44DD-9BDA-8CBB6795D2A7}"/>
    <w:embedBold r:id="rId4" w:fontKey="{BAC89938-8AEE-427F-A396-7C18C0300FD6}"/>
    <w:embedItalic r:id="rId5" w:fontKey="{3241977F-6C57-4EAF-A80D-C3C39EA619FD}"/>
  </w:font>
  <w:font w:name="Calibri Light">
    <w:panose1 w:val="020F0302020204030204"/>
    <w:charset w:val="00"/>
    <w:family w:val="swiss"/>
    <w:pitch w:val="variable"/>
    <w:sig w:usb0="E4002EFF" w:usb1="C200247B" w:usb2="00000009" w:usb3="00000000" w:csb0="000001FF" w:csb1="00000000"/>
    <w:embedRegular r:id="rId6" w:fontKey="{CA46040B-C938-4024-9C74-0FCE566FBA32}"/>
  </w:font>
  <w:font w:name="Segoe UI">
    <w:panose1 w:val="020B0502040204020203"/>
    <w:charset w:val="00"/>
    <w:family w:val="swiss"/>
    <w:pitch w:val="variable"/>
    <w:sig w:usb0="E4002EFF" w:usb1="C000E47F" w:usb2="00000009" w:usb3="00000000" w:csb0="000001FF" w:csb1="00000000"/>
    <w:embedRegular r:id="rId7" w:fontKey="{10AF948A-0099-47F7-A483-A6C43E3FA906}"/>
  </w:font>
  <w:font w:name="Flama Semicondensed Medium">
    <w:altName w:val="Calibri"/>
    <w:panose1 w:val="02000000000000000000"/>
    <w:charset w:val="00"/>
    <w:family w:val="auto"/>
    <w:pitch w:val="variable"/>
    <w:sig w:usb0="A00000AF" w:usb1="4000207B" w:usb2="00000000" w:usb3="00000000" w:csb0="0000008B" w:csb1="00000000"/>
    <w:embedRegular r:id="rId8" w:fontKey="{41BB4CB5-10C9-4C9F-84E0-55B48958B52E}"/>
    <w:embedBold r:id="rId9" w:fontKey="{07082544-5793-46C9-BED1-105FA3002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20C25CD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526D8">
          <w:rPr>
            <w:lang w:val="en-US"/>
          </w:rPr>
          <w:t xml:space="preserve">Market Consultation </w:t>
        </w:r>
        <w:proofErr w:type="spellStart"/>
        <w:r w:rsidR="00B526D8">
          <w:rPr>
            <w:lang w:val="en-US"/>
          </w:rPr>
          <w:t>Solactive</w:t>
        </w:r>
        <w:proofErr w:type="spellEnd"/>
        <w:r w:rsidR="00B526D8">
          <w:rPr>
            <w:lang w:val="en-US"/>
          </w:rPr>
          <w:t xml:space="preserve"> CWM Balanced Strategy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0575950" o:spid="_x0000_i1025" type="#_x0000_t75" style="width:26pt;height:20pt;visibility:visible;mso-wrap-style:square" o:bullet="t">
        <v:imagedata r:id="rId1" o:title=""/>
      </v:shape>
    </w:pict>
  </w:numPicBullet>
  <w:numPicBullet w:numPicBulletId="1">
    <w:pict>
      <v:shape w14:anchorId="42E02C1B" id="Picture 1310208749" o:spid="_x0000_i1026" type="#_x0000_t75" style="width:20pt;height:20pt;visibility:visible;mso-wrap-style:square" o:bullet="t">
        <v:imagedata r:id="rId2" o:title=""/>
      </v:shape>
    </w:pict>
  </w:numPicBullet>
  <w:numPicBullet w:numPicBulletId="2">
    <w:pict>
      <v:shape w14:anchorId="4360039E" id="Picture 1758143652" o:spid="_x0000_i1027" type="#_x0000_t75" style="width:15.5pt;height:16pt;visibility:visible;mso-wrap-style:square" o:bullet="t">
        <v:imagedata r:id="rId3" o:title=""/>
      </v:shape>
    </w:pict>
  </w:numPicBullet>
  <w:numPicBullet w:numPicBulletId="3">
    <w:pict>
      <v:shape id="Picture 1432780004" o:spid="_x0000_i1028" type="#_x0000_t75" style="width:15.5pt;height:16pt;visibility:visible;mso-wrap-style:square" o:bullet="t">
        <v:imagedata r:id="rId4" o:title=""/>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345372"/>
    <w:multiLevelType w:val="multilevel"/>
    <w:tmpl w:val="0A0E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3905805">
    <w:abstractNumId w:val="6"/>
  </w:num>
  <w:num w:numId="2" w16cid:durableId="1893270907">
    <w:abstractNumId w:val="7"/>
  </w:num>
  <w:num w:numId="3" w16cid:durableId="755902279">
    <w:abstractNumId w:val="16"/>
  </w:num>
  <w:num w:numId="4" w16cid:durableId="1794908228">
    <w:abstractNumId w:val="20"/>
  </w:num>
  <w:num w:numId="5" w16cid:durableId="1153179631">
    <w:abstractNumId w:val="15"/>
  </w:num>
  <w:num w:numId="6" w16cid:durableId="1382829751">
    <w:abstractNumId w:val="8"/>
  </w:num>
  <w:num w:numId="7" w16cid:durableId="1671786308">
    <w:abstractNumId w:val="19"/>
  </w:num>
  <w:num w:numId="8" w16cid:durableId="1661421977">
    <w:abstractNumId w:val="3"/>
  </w:num>
  <w:num w:numId="9" w16cid:durableId="215092282">
    <w:abstractNumId w:val="13"/>
  </w:num>
  <w:num w:numId="10" w16cid:durableId="1236163233">
    <w:abstractNumId w:val="12"/>
  </w:num>
  <w:num w:numId="11" w16cid:durableId="1667510493">
    <w:abstractNumId w:val="2"/>
  </w:num>
  <w:num w:numId="12" w16cid:durableId="458764942">
    <w:abstractNumId w:val="1"/>
  </w:num>
  <w:num w:numId="13" w16cid:durableId="2117558796">
    <w:abstractNumId w:val="14"/>
  </w:num>
  <w:num w:numId="14" w16cid:durableId="157426421">
    <w:abstractNumId w:val="10"/>
  </w:num>
  <w:num w:numId="15" w16cid:durableId="360015772">
    <w:abstractNumId w:val="5"/>
  </w:num>
  <w:num w:numId="16" w16cid:durableId="615789768">
    <w:abstractNumId w:val="11"/>
  </w:num>
  <w:num w:numId="17" w16cid:durableId="2077820120">
    <w:abstractNumId w:val="21"/>
  </w:num>
  <w:num w:numId="18" w16cid:durableId="1328628775">
    <w:abstractNumId w:val="9"/>
  </w:num>
  <w:num w:numId="19" w16cid:durableId="1365520386">
    <w:abstractNumId w:val="17"/>
  </w:num>
  <w:num w:numId="20" w16cid:durableId="976453354">
    <w:abstractNumId w:val="18"/>
  </w:num>
  <w:num w:numId="21" w16cid:durableId="1507014752">
    <w:abstractNumId w:val="0"/>
  </w:num>
  <w:num w:numId="22" w16cid:durableId="656035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0F7298"/>
    <w:rsid w:val="0010358C"/>
    <w:rsid w:val="00110CA0"/>
    <w:rsid w:val="00113086"/>
    <w:rsid w:val="00123CB9"/>
    <w:rsid w:val="00124B71"/>
    <w:rsid w:val="001278E3"/>
    <w:rsid w:val="00133435"/>
    <w:rsid w:val="00135E34"/>
    <w:rsid w:val="00151DD8"/>
    <w:rsid w:val="00185395"/>
    <w:rsid w:val="001913FD"/>
    <w:rsid w:val="00192032"/>
    <w:rsid w:val="0019287D"/>
    <w:rsid w:val="00196409"/>
    <w:rsid w:val="00196791"/>
    <w:rsid w:val="001A252E"/>
    <w:rsid w:val="001B6B1E"/>
    <w:rsid w:val="001C7018"/>
    <w:rsid w:val="001D0ECC"/>
    <w:rsid w:val="001D6895"/>
    <w:rsid w:val="001E3FA6"/>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4485"/>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A6168"/>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D3798"/>
    <w:rsid w:val="005E2B50"/>
    <w:rsid w:val="005E38A8"/>
    <w:rsid w:val="005E61B4"/>
    <w:rsid w:val="005F62E5"/>
    <w:rsid w:val="00606714"/>
    <w:rsid w:val="00621EE1"/>
    <w:rsid w:val="00623953"/>
    <w:rsid w:val="00626C9C"/>
    <w:rsid w:val="0063017D"/>
    <w:rsid w:val="00630D46"/>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A372E"/>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407D1"/>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3D5A"/>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A442D"/>
    <w:rsid w:val="00AB6B57"/>
    <w:rsid w:val="00AC0BF4"/>
    <w:rsid w:val="00AD1AED"/>
    <w:rsid w:val="00AF0FFD"/>
    <w:rsid w:val="00AF46AF"/>
    <w:rsid w:val="00B01B34"/>
    <w:rsid w:val="00B04ABF"/>
    <w:rsid w:val="00B1629F"/>
    <w:rsid w:val="00B210BC"/>
    <w:rsid w:val="00B302B4"/>
    <w:rsid w:val="00B4681A"/>
    <w:rsid w:val="00B50CC6"/>
    <w:rsid w:val="00B526D8"/>
    <w:rsid w:val="00B5343D"/>
    <w:rsid w:val="00B61371"/>
    <w:rsid w:val="00B6689F"/>
    <w:rsid w:val="00B84D86"/>
    <w:rsid w:val="00B915B6"/>
    <w:rsid w:val="00BA23D9"/>
    <w:rsid w:val="00BA3FA5"/>
    <w:rsid w:val="00BA6139"/>
    <w:rsid w:val="00BB1CFA"/>
    <w:rsid w:val="00BB7BCB"/>
    <w:rsid w:val="00BD4042"/>
    <w:rsid w:val="00BE7D66"/>
    <w:rsid w:val="00C0189C"/>
    <w:rsid w:val="00C03D31"/>
    <w:rsid w:val="00C04273"/>
    <w:rsid w:val="00C22CA0"/>
    <w:rsid w:val="00C24716"/>
    <w:rsid w:val="00C251C7"/>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8282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099D"/>
    <w:rsid w:val="00E738F4"/>
    <w:rsid w:val="00E75C53"/>
    <w:rsid w:val="00E85D18"/>
    <w:rsid w:val="00E87285"/>
    <w:rsid w:val="00E9274E"/>
    <w:rsid w:val="00EA23FA"/>
    <w:rsid w:val="00EA4B8A"/>
    <w:rsid w:val="00EC2BCA"/>
    <w:rsid w:val="00ED0760"/>
    <w:rsid w:val="00EE22E3"/>
    <w:rsid w:val="00EF4A17"/>
    <w:rsid w:val="00F0488B"/>
    <w:rsid w:val="00F1145C"/>
    <w:rsid w:val="00F216C8"/>
    <w:rsid w:val="00F25F45"/>
    <w:rsid w:val="00F46A29"/>
    <w:rsid w:val="00F51148"/>
    <w:rsid w:val="00F568D6"/>
    <w:rsid w:val="00F67BDD"/>
    <w:rsid w:val="00F75FFF"/>
    <w:rsid w:val="00F77D37"/>
    <w:rsid w:val="00F8097C"/>
    <w:rsid w:val="00F863D9"/>
    <w:rsid w:val="00F948C6"/>
    <w:rsid w:val="00F964E4"/>
    <w:rsid w:val="00F97AFE"/>
    <w:rsid w:val="00FA625C"/>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52E"/>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paragraph" w:styleId="Heading6">
    <w:name w:val="heading 6"/>
    <w:basedOn w:val="Normal"/>
    <w:next w:val="Normal"/>
    <w:link w:val="Heading6Char"/>
    <w:uiPriority w:val="9"/>
    <w:semiHidden/>
    <w:unhideWhenUsed/>
    <w:qFormat/>
    <w:rsid w:val="001E3FA6"/>
    <w:pPr>
      <w:keepNext/>
      <w:keepLines/>
      <w:spacing w:before="40" w:after="0"/>
      <w:outlineLvl w:val="5"/>
    </w:pPr>
    <w:rPr>
      <w:rFonts w:asciiTheme="majorHAnsi" w:eastAsiaTheme="majorEastAsia" w:hAnsiTheme="majorHAnsi" w:cstheme="majorBidi"/>
      <w:color w:val="023F8E"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A372E"/>
    <w:pPr>
      <w:spacing w:after="0" w:line="240" w:lineRule="auto"/>
    </w:pPr>
    <w:rPr>
      <w:rFonts w:ascii="Flama Semicondensed Light" w:eastAsia="Times New Roman" w:hAnsi="Flama Semicondensed Light" w:cs="Times New Roman"/>
      <w:sz w:val="24"/>
      <w:szCs w:val="24"/>
      <w:lang w:eastAsia="de-DE"/>
    </w:rPr>
  </w:style>
  <w:style w:type="character" w:customStyle="1" w:styleId="Heading6Char">
    <w:name w:val="Heading 6 Char"/>
    <w:basedOn w:val="DefaultParagraphFont"/>
    <w:link w:val="Heading6"/>
    <w:uiPriority w:val="9"/>
    <w:semiHidden/>
    <w:rsid w:val="001E3FA6"/>
    <w:rPr>
      <w:rFonts w:asciiTheme="majorHAnsi" w:eastAsiaTheme="majorEastAsia" w:hAnsiTheme="majorHAnsi" w:cstheme="majorBidi"/>
      <w:color w:val="023F8E"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88324">
      <w:bodyDiv w:val="1"/>
      <w:marLeft w:val="0"/>
      <w:marRight w:val="0"/>
      <w:marTop w:val="0"/>
      <w:marBottom w:val="0"/>
      <w:divBdr>
        <w:top w:val="none" w:sz="0" w:space="0" w:color="auto"/>
        <w:left w:val="none" w:sz="0" w:space="0" w:color="auto"/>
        <w:bottom w:val="none" w:sz="0" w:space="0" w:color="auto"/>
        <w:right w:val="none" w:sz="0" w:space="0" w:color="auto"/>
      </w:divBdr>
    </w:div>
    <w:div w:id="472602356">
      <w:bodyDiv w:val="1"/>
      <w:marLeft w:val="0"/>
      <w:marRight w:val="0"/>
      <w:marTop w:val="0"/>
      <w:marBottom w:val="0"/>
      <w:divBdr>
        <w:top w:val="none" w:sz="0" w:space="0" w:color="auto"/>
        <w:left w:val="none" w:sz="0" w:space="0" w:color="auto"/>
        <w:bottom w:val="none" w:sz="0" w:space="0" w:color="auto"/>
        <w:right w:val="none" w:sz="0" w:space="0" w:color="auto"/>
      </w:divBdr>
    </w:div>
    <w:div w:id="1112630910">
      <w:bodyDiv w:val="1"/>
      <w:marLeft w:val="0"/>
      <w:marRight w:val="0"/>
      <w:marTop w:val="0"/>
      <w:marBottom w:val="0"/>
      <w:divBdr>
        <w:top w:val="none" w:sz="0" w:space="0" w:color="auto"/>
        <w:left w:val="none" w:sz="0" w:space="0" w:color="auto"/>
        <w:bottom w:val="none" w:sz="0" w:space="0" w:color="auto"/>
        <w:right w:val="none" w:sz="0" w:space="0" w:color="auto"/>
      </w:divBdr>
    </w:div>
    <w:div w:id="1136683292">
      <w:bodyDiv w:val="1"/>
      <w:marLeft w:val="0"/>
      <w:marRight w:val="0"/>
      <w:marTop w:val="0"/>
      <w:marBottom w:val="0"/>
      <w:divBdr>
        <w:top w:val="none" w:sz="0" w:space="0" w:color="auto"/>
        <w:left w:val="none" w:sz="0" w:space="0" w:color="auto"/>
        <w:bottom w:val="none" w:sz="0" w:space="0" w:color="auto"/>
        <w:right w:val="none" w:sz="0" w:space="0" w:color="auto"/>
      </w:divBdr>
    </w:div>
    <w:div w:id="1187522269">
      <w:bodyDiv w:val="1"/>
      <w:marLeft w:val="0"/>
      <w:marRight w:val="0"/>
      <w:marTop w:val="0"/>
      <w:marBottom w:val="0"/>
      <w:divBdr>
        <w:top w:val="none" w:sz="0" w:space="0" w:color="auto"/>
        <w:left w:val="none" w:sz="0" w:space="0" w:color="auto"/>
        <w:bottom w:val="none" w:sz="0" w:space="0" w:color="auto"/>
        <w:right w:val="none" w:sz="0" w:space="0" w:color="auto"/>
      </w:divBdr>
      <w:divsChild>
        <w:div w:id="1952976895">
          <w:marLeft w:val="0"/>
          <w:marRight w:val="0"/>
          <w:marTop w:val="0"/>
          <w:marBottom w:val="0"/>
          <w:divBdr>
            <w:top w:val="none" w:sz="0" w:space="0" w:color="auto"/>
            <w:left w:val="none" w:sz="0" w:space="0" w:color="auto"/>
            <w:bottom w:val="none" w:sz="0" w:space="0" w:color="auto"/>
            <w:right w:val="none" w:sz="0" w:space="0" w:color="auto"/>
          </w:divBdr>
          <w:divsChild>
            <w:div w:id="2116827303">
              <w:marLeft w:val="0"/>
              <w:marRight w:val="0"/>
              <w:marTop w:val="0"/>
              <w:marBottom w:val="0"/>
              <w:divBdr>
                <w:top w:val="none" w:sz="0" w:space="0" w:color="auto"/>
                <w:left w:val="none" w:sz="0" w:space="0" w:color="auto"/>
                <w:bottom w:val="none" w:sz="0" w:space="0" w:color="auto"/>
                <w:right w:val="none" w:sz="0" w:space="0" w:color="auto"/>
              </w:divBdr>
              <w:divsChild>
                <w:div w:id="1580140494">
                  <w:marLeft w:val="0"/>
                  <w:marRight w:val="0"/>
                  <w:marTop w:val="0"/>
                  <w:marBottom w:val="0"/>
                  <w:divBdr>
                    <w:top w:val="none" w:sz="0" w:space="0" w:color="auto"/>
                    <w:left w:val="none" w:sz="0" w:space="0" w:color="auto"/>
                    <w:bottom w:val="none" w:sz="0" w:space="0" w:color="auto"/>
                    <w:right w:val="none" w:sz="0" w:space="0" w:color="auto"/>
                  </w:divBdr>
                  <w:divsChild>
                    <w:div w:id="1195997061">
                      <w:marLeft w:val="0"/>
                      <w:marRight w:val="0"/>
                      <w:marTop w:val="0"/>
                      <w:marBottom w:val="0"/>
                      <w:divBdr>
                        <w:top w:val="none" w:sz="0" w:space="0" w:color="auto"/>
                        <w:left w:val="none" w:sz="0" w:space="0" w:color="auto"/>
                        <w:bottom w:val="none" w:sz="0" w:space="0" w:color="auto"/>
                        <w:right w:val="none" w:sz="0" w:space="0" w:color="auto"/>
                      </w:divBdr>
                      <w:divsChild>
                        <w:div w:id="65613656">
                          <w:marLeft w:val="0"/>
                          <w:marRight w:val="0"/>
                          <w:marTop w:val="0"/>
                          <w:marBottom w:val="0"/>
                          <w:divBdr>
                            <w:top w:val="none" w:sz="0" w:space="0" w:color="auto"/>
                            <w:left w:val="none" w:sz="0" w:space="0" w:color="auto"/>
                            <w:bottom w:val="none" w:sz="0" w:space="0" w:color="auto"/>
                            <w:right w:val="none" w:sz="0" w:space="0" w:color="auto"/>
                          </w:divBdr>
                          <w:divsChild>
                            <w:div w:id="1497570136">
                              <w:marLeft w:val="0"/>
                              <w:marRight w:val="0"/>
                              <w:marTop w:val="0"/>
                              <w:marBottom w:val="0"/>
                              <w:divBdr>
                                <w:top w:val="none" w:sz="0" w:space="0" w:color="auto"/>
                                <w:left w:val="none" w:sz="0" w:space="0" w:color="auto"/>
                                <w:bottom w:val="none" w:sz="0" w:space="0" w:color="auto"/>
                                <w:right w:val="none" w:sz="0" w:space="0" w:color="auto"/>
                              </w:divBdr>
                              <w:divsChild>
                                <w:div w:id="1337994756">
                                  <w:marLeft w:val="0"/>
                                  <w:marRight w:val="0"/>
                                  <w:marTop w:val="0"/>
                                  <w:marBottom w:val="0"/>
                                  <w:divBdr>
                                    <w:top w:val="none" w:sz="0" w:space="0" w:color="auto"/>
                                    <w:left w:val="none" w:sz="0" w:space="0" w:color="auto"/>
                                    <w:bottom w:val="none" w:sz="0" w:space="0" w:color="auto"/>
                                    <w:right w:val="none" w:sz="0" w:space="0" w:color="auto"/>
                                  </w:divBdr>
                                  <w:divsChild>
                                    <w:div w:id="12151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865329">
      <w:bodyDiv w:val="1"/>
      <w:marLeft w:val="0"/>
      <w:marRight w:val="0"/>
      <w:marTop w:val="0"/>
      <w:marBottom w:val="0"/>
      <w:divBdr>
        <w:top w:val="none" w:sz="0" w:space="0" w:color="auto"/>
        <w:left w:val="none" w:sz="0" w:space="0" w:color="auto"/>
        <w:bottom w:val="none" w:sz="0" w:space="0" w:color="auto"/>
        <w:right w:val="none" w:sz="0" w:space="0" w:color="auto"/>
      </w:divBdr>
    </w:div>
    <w:div w:id="1678385549">
      <w:bodyDiv w:val="1"/>
      <w:marLeft w:val="0"/>
      <w:marRight w:val="0"/>
      <w:marTop w:val="0"/>
      <w:marBottom w:val="0"/>
      <w:divBdr>
        <w:top w:val="none" w:sz="0" w:space="0" w:color="auto"/>
        <w:left w:val="none" w:sz="0" w:space="0" w:color="auto"/>
        <w:bottom w:val="none" w:sz="0" w:space="0" w:color="auto"/>
        <w:right w:val="none" w:sz="0" w:space="0" w:color="auto"/>
      </w:divBdr>
    </w:div>
    <w:div w:id="2039893584">
      <w:bodyDiv w:val="1"/>
      <w:marLeft w:val="0"/>
      <w:marRight w:val="0"/>
      <w:marTop w:val="0"/>
      <w:marBottom w:val="0"/>
      <w:divBdr>
        <w:top w:val="none" w:sz="0" w:space="0" w:color="auto"/>
        <w:left w:val="none" w:sz="0" w:space="0" w:color="auto"/>
        <w:bottom w:val="none" w:sz="0" w:space="0" w:color="auto"/>
        <w:right w:val="none" w:sz="0" w:space="0" w:color="auto"/>
      </w:divBdr>
      <w:divsChild>
        <w:div w:id="203493704">
          <w:marLeft w:val="0"/>
          <w:marRight w:val="0"/>
          <w:marTop w:val="0"/>
          <w:marBottom w:val="0"/>
          <w:divBdr>
            <w:top w:val="none" w:sz="0" w:space="0" w:color="auto"/>
            <w:left w:val="none" w:sz="0" w:space="0" w:color="auto"/>
            <w:bottom w:val="none" w:sz="0" w:space="0" w:color="auto"/>
            <w:right w:val="none" w:sz="0" w:space="0" w:color="auto"/>
          </w:divBdr>
          <w:divsChild>
            <w:div w:id="1256284003">
              <w:marLeft w:val="0"/>
              <w:marRight w:val="0"/>
              <w:marTop w:val="0"/>
              <w:marBottom w:val="0"/>
              <w:divBdr>
                <w:top w:val="none" w:sz="0" w:space="0" w:color="auto"/>
                <w:left w:val="none" w:sz="0" w:space="0" w:color="auto"/>
                <w:bottom w:val="none" w:sz="0" w:space="0" w:color="auto"/>
                <w:right w:val="none" w:sz="0" w:space="0" w:color="auto"/>
              </w:divBdr>
              <w:divsChild>
                <w:div w:id="1890417811">
                  <w:marLeft w:val="0"/>
                  <w:marRight w:val="0"/>
                  <w:marTop w:val="0"/>
                  <w:marBottom w:val="0"/>
                  <w:divBdr>
                    <w:top w:val="none" w:sz="0" w:space="0" w:color="auto"/>
                    <w:left w:val="none" w:sz="0" w:space="0" w:color="auto"/>
                    <w:bottom w:val="none" w:sz="0" w:space="0" w:color="auto"/>
                    <w:right w:val="none" w:sz="0" w:space="0" w:color="auto"/>
                  </w:divBdr>
                  <w:divsChild>
                    <w:div w:id="1411349872">
                      <w:marLeft w:val="0"/>
                      <w:marRight w:val="0"/>
                      <w:marTop w:val="0"/>
                      <w:marBottom w:val="0"/>
                      <w:divBdr>
                        <w:top w:val="none" w:sz="0" w:space="0" w:color="auto"/>
                        <w:left w:val="none" w:sz="0" w:space="0" w:color="auto"/>
                        <w:bottom w:val="none" w:sz="0" w:space="0" w:color="auto"/>
                        <w:right w:val="none" w:sz="0" w:space="0" w:color="auto"/>
                      </w:divBdr>
                      <w:divsChild>
                        <w:div w:id="836850909">
                          <w:marLeft w:val="0"/>
                          <w:marRight w:val="0"/>
                          <w:marTop w:val="0"/>
                          <w:marBottom w:val="0"/>
                          <w:divBdr>
                            <w:top w:val="none" w:sz="0" w:space="0" w:color="auto"/>
                            <w:left w:val="none" w:sz="0" w:space="0" w:color="auto"/>
                            <w:bottom w:val="none" w:sz="0" w:space="0" w:color="auto"/>
                            <w:right w:val="none" w:sz="0" w:space="0" w:color="auto"/>
                          </w:divBdr>
                          <w:divsChild>
                            <w:div w:id="488910415">
                              <w:marLeft w:val="0"/>
                              <w:marRight w:val="0"/>
                              <w:marTop w:val="0"/>
                              <w:marBottom w:val="0"/>
                              <w:divBdr>
                                <w:top w:val="none" w:sz="0" w:space="0" w:color="auto"/>
                                <w:left w:val="none" w:sz="0" w:space="0" w:color="auto"/>
                                <w:bottom w:val="none" w:sz="0" w:space="0" w:color="auto"/>
                                <w:right w:val="none" w:sz="0" w:space="0" w:color="auto"/>
                              </w:divBdr>
                              <w:divsChild>
                                <w:div w:id="1482112218">
                                  <w:marLeft w:val="0"/>
                                  <w:marRight w:val="0"/>
                                  <w:marTop w:val="0"/>
                                  <w:marBottom w:val="0"/>
                                  <w:divBdr>
                                    <w:top w:val="none" w:sz="0" w:space="0" w:color="auto"/>
                                    <w:left w:val="none" w:sz="0" w:space="0" w:color="auto"/>
                                    <w:bottom w:val="none" w:sz="0" w:space="0" w:color="auto"/>
                                    <w:right w:val="none" w:sz="0" w:space="0" w:color="auto"/>
                                  </w:divBdr>
                                  <w:divsChild>
                                    <w:div w:id="3266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2E4485"/>
    <w:rsid w:val="00523072"/>
    <w:rsid w:val="005325BE"/>
    <w:rsid w:val="00630D46"/>
    <w:rsid w:val="008407D1"/>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7</Pages>
  <Words>770</Words>
  <Characters>4393</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CWM Balanced Strategy Index</dc:title>
  <dc:subject>Calculation Documents &amp; Methodologies</dc:subject>
  <dc:creator>Solactive AG</dc:creator>
  <cp:keywords/>
  <dc:description/>
  <cp:lastModifiedBy>Darkaoui, Jamal</cp:lastModifiedBy>
  <cp:revision>6</cp:revision>
  <cp:lastPrinted>2025-04-03T15:55:00Z</cp:lastPrinted>
  <dcterms:created xsi:type="dcterms:W3CDTF">2025-04-03T15:42:00Z</dcterms:created>
  <dcterms:modified xsi:type="dcterms:W3CDTF">2026-02-20T10:08:00Z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