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lang w:val="en-US"/>
        </w:rPr>
        <w:id w:val="312156981"/>
        <w:docPartObj>
          <w:docPartGallery w:val="Cover Pages"/>
          <w:docPartUnique/>
        </w:docPartObj>
      </w:sdtPr>
      <w:sdtEndPr/>
      <w:sdtContent>
        <w:p w14:paraId="2A1DB275" w14:textId="3C8F3681" w:rsidR="00A65C78" w:rsidRDefault="00B915B6" w:rsidP="00DF25E7">
          <w:pPr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DC0ABE8" w:rsidR="0092193A" w:rsidRPr="0097651D" w:rsidRDefault="002E18AC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Solactive SoFi US 500</w:t>
              </w:r>
              <w:r w:rsidR="00EE5983">
                <w:rPr>
                  <w:color w:val="FFFFFF" w:themeColor="background1"/>
                  <w:lang w:val="en-US"/>
                </w:rPr>
                <w:t xml:space="preserve"> Growth</w:t>
              </w:r>
              <w:r>
                <w:rPr>
                  <w:color w:val="FFFFFF" w:themeColor="background1"/>
                  <w:lang w:val="en-US"/>
                </w:rPr>
                <w:t xml:space="preserve"> </w:t>
              </w:r>
              <w:r w:rsidR="00EA1A30">
                <w:rPr>
                  <w:color w:val="FFFFFF" w:themeColor="background1"/>
                  <w:lang w:val="en-US"/>
                </w:rPr>
                <w:t>I</w:t>
              </w:r>
              <w:r w:rsidR="00DF25E7">
                <w:rPr>
                  <w:color w:val="FFFFFF" w:themeColor="background1"/>
                  <w:lang w:val="en-US"/>
                </w:rPr>
                <w:t>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CDC3D9D" w:rsidR="00466905" w:rsidRPr="00D902A1" w:rsidRDefault="00EA1A3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10-0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85539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02 October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5CDC3D9D" w:rsidR="00466905" w:rsidRPr="00D902A1" w:rsidRDefault="00EA1A3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10-0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85539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02 October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9A6043A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3C6345">
        <w:rPr>
          <w:lang w:val="en-GB"/>
        </w:rPr>
        <w:t xml:space="preserve">following </w:t>
      </w:r>
      <w:r w:rsidR="00DF25E7">
        <w:rPr>
          <w:lang w:val="en-US"/>
        </w:rPr>
        <w:t>Indices</w:t>
      </w:r>
      <w:r w:rsidR="00E05994" w:rsidRPr="003C6345">
        <w:rPr>
          <w:lang w:val="en-US"/>
        </w:rPr>
        <w:t xml:space="preserve"> (the ‘</w:t>
      </w:r>
      <w:r w:rsidR="00DF25E7">
        <w:rPr>
          <w:lang w:val="en-US"/>
        </w:rPr>
        <w:t>Indices</w:t>
      </w:r>
      <w:r w:rsidR="00E05994" w:rsidRPr="003C6345">
        <w:rPr>
          <w:lang w:val="en-US"/>
        </w:rPr>
        <w:t>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4538F8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2FFF5F81" w:rsidR="00E05994" w:rsidRPr="003A1DD5" w:rsidRDefault="00855397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855397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SoFi US 500 Growth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7DA1D213" w:rsidR="00E05994" w:rsidRPr="003C6345" w:rsidRDefault="00855397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6E1E58">
              <w:rPr>
                <w:sz w:val="22"/>
                <w:szCs w:val="22"/>
                <w:lang w:val="en-US"/>
              </w:rPr>
              <w:t>.SOLSFY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64E76304" w:rsidR="00E05994" w:rsidRDefault="00855397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E1E58">
              <w:rPr>
                <w:sz w:val="22"/>
                <w:szCs w:val="22"/>
                <w:lang w:val="en-US"/>
              </w:rPr>
              <w:t>DE000SLA71W9</w:t>
            </w:r>
          </w:p>
        </w:tc>
      </w:tr>
      <w:tr w:rsidR="004538F8" w14:paraId="0611492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D472B4" w14:textId="05318EA6" w:rsidR="004538F8" w:rsidRPr="00855397" w:rsidRDefault="004538F8" w:rsidP="004538F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855397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SoFi US 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Next </w:t>
            </w:r>
            <w:r w:rsidRPr="00855397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500 Growth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74164F1" w14:textId="2E59EC53" w:rsidR="004538F8" w:rsidRPr="006E1E58" w:rsidRDefault="004538F8" w:rsidP="004538F8">
            <w:pPr>
              <w:spacing w:line="256" w:lineRule="auto"/>
              <w:rPr>
                <w:sz w:val="22"/>
                <w:szCs w:val="22"/>
                <w:lang w:val="en-US"/>
              </w:rPr>
            </w:pPr>
            <w:proofErr w:type="gramStart"/>
            <w:r w:rsidRPr="006E1E58">
              <w:rPr>
                <w:sz w:val="22"/>
                <w:szCs w:val="22"/>
                <w:lang w:val="en-US"/>
              </w:rPr>
              <w:t>.SOLSFY</w:t>
            </w:r>
            <w:r>
              <w:rPr>
                <w:sz w:val="22"/>
                <w:szCs w:val="22"/>
                <w:lang w:val="en-US"/>
              </w:rPr>
              <w:t>X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A4DA3" w14:textId="08096CC2" w:rsidR="004538F8" w:rsidRPr="006E1E58" w:rsidRDefault="004538F8" w:rsidP="004538F8">
            <w:pPr>
              <w:spacing w:line="256" w:lineRule="auto"/>
              <w:rPr>
                <w:sz w:val="22"/>
                <w:szCs w:val="22"/>
                <w:lang w:val="en-US"/>
              </w:rPr>
            </w:pPr>
            <w:r w:rsidRPr="004538F8">
              <w:rPr>
                <w:sz w:val="22"/>
                <w:szCs w:val="22"/>
              </w:rPr>
              <w:t>DE000SLA71X7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proofErr w:type="spellStart"/>
      <w:r w:rsidR="0073537F">
        <w:rPr>
          <w:b/>
          <w:bCs/>
          <w:sz w:val="28"/>
          <w:szCs w:val="28"/>
          <w:u w:val="single"/>
        </w:rPr>
        <w:t>the</w:t>
      </w:r>
      <w:proofErr w:type="spellEnd"/>
      <w:r w:rsidR="0073537F">
        <w:rPr>
          <w:b/>
          <w:bCs/>
          <w:sz w:val="28"/>
          <w:szCs w:val="28"/>
          <w:u w:val="single"/>
        </w:rPr>
        <w:t xml:space="preserve">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266E53A1" w:rsidR="00233B75" w:rsidRPr="003C6345" w:rsidRDefault="00855397" w:rsidP="00783C68">
      <w:pPr>
        <w:spacing w:before="0" w:after="160" w:line="259" w:lineRule="auto"/>
        <w:jc w:val="left"/>
        <w:rPr>
          <w:lang w:val="en-GB"/>
        </w:rPr>
      </w:pPr>
      <w:proofErr w:type="spellStart"/>
      <w:r>
        <w:rPr>
          <w:lang w:val="en-GB"/>
        </w:rPr>
        <w:t>Solactive</w:t>
      </w:r>
      <w:proofErr w:type="spellEnd"/>
      <w:r>
        <w:rPr>
          <w:lang w:val="en-GB"/>
        </w:rPr>
        <w:t xml:space="preserve"> suggests the following change to guarantee the diversification of the </w:t>
      </w:r>
      <w:r w:rsidR="004538F8">
        <w:rPr>
          <w:lang w:val="en-GB"/>
        </w:rPr>
        <w:t>indices</w:t>
      </w:r>
      <w:r>
        <w:rPr>
          <w:lang w:val="en-GB"/>
        </w:rPr>
        <w:t xml:space="preserve">. </w:t>
      </w:r>
      <w:proofErr w:type="spellStart"/>
      <w:r>
        <w:rPr>
          <w:lang w:val="en-GB"/>
        </w:rPr>
        <w:t>Solactive</w:t>
      </w:r>
      <w:proofErr w:type="spellEnd"/>
      <w:r>
        <w:rPr>
          <w:lang w:val="en-GB"/>
        </w:rPr>
        <w:t xml:space="preserve"> </w:t>
      </w:r>
      <w:r w:rsidR="00DF25E7">
        <w:rPr>
          <w:lang w:val="en-GB"/>
        </w:rPr>
        <w:t xml:space="preserve">wants </w:t>
      </w:r>
      <w:r>
        <w:rPr>
          <w:lang w:val="en-GB"/>
        </w:rPr>
        <w:t xml:space="preserve">to </w:t>
      </w:r>
      <w:r w:rsidR="00DF25E7">
        <w:rPr>
          <w:lang w:val="en-GB"/>
        </w:rPr>
        <w:t xml:space="preserve">cap the final weights, so that </w:t>
      </w:r>
      <w:r w:rsidR="004538F8">
        <w:rPr>
          <w:lang w:val="en-GB"/>
        </w:rPr>
        <w:t xml:space="preserve">cumulative weights for securities </w:t>
      </w:r>
      <w:proofErr w:type="gramStart"/>
      <w:r w:rsidR="004538F8">
        <w:rPr>
          <w:lang w:val="en-GB"/>
        </w:rPr>
        <w:t>in excess of</w:t>
      </w:r>
      <w:proofErr w:type="gramEnd"/>
      <w:r w:rsidR="004538F8">
        <w:rPr>
          <w:lang w:val="en-GB"/>
        </w:rPr>
        <w:t xml:space="preserve"> 5% are capped at 5%, the excess being redistributed to other securities with a weight of less than 5%.</w:t>
      </w:r>
    </w:p>
    <w:p w14:paraId="2BF4DE5A" w14:textId="77777777" w:rsidR="007E47D4" w:rsidRPr="003C6345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22C95611" w:rsidR="00F568D6" w:rsidRPr="003C6345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3C6345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3C6345">
        <w:rPr>
          <w:b/>
          <w:bCs/>
          <w:sz w:val="28"/>
          <w:szCs w:val="28"/>
          <w:u w:val="single"/>
          <w:lang w:val="en-GB"/>
        </w:rPr>
        <w:t>Change</w:t>
      </w:r>
      <w:r w:rsidR="00A64163" w:rsidRPr="003C6345">
        <w:rPr>
          <w:b/>
          <w:bCs/>
          <w:sz w:val="28"/>
          <w:szCs w:val="28"/>
          <w:u w:val="single"/>
        </w:rPr>
        <w:t>/</w:t>
      </w:r>
      <w:r w:rsidR="00C77B4F" w:rsidRPr="003C6345">
        <w:rPr>
          <w:b/>
          <w:bCs/>
          <w:sz w:val="28"/>
          <w:szCs w:val="28"/>
          <w:u w:val="single"/>
          <w:lang w:val="en-GB"/>
        </w:rPr>
        <w:t>(s</w:t>
      </w:r>
      <w:r w:rsidR="00C77B4F" w:rsidRPr="003C6345">
        <w:rPr>
          <w:b/>
          <w:bCs/>
          <w:sz w:val="28"/>
          <w:szCs w:val="28"/>
          <w:u w:val="single"/>
        </w:rPr>
        <w:t>)</w:t>
      </w:r>
      <w:r w:rsidR="00C77B4F" w:rsidRPr="003C6345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3C6345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6143CDC1" w:rsidR="004A428F" w:rsidRDefault="004A428F" w:rsidP="0026131F">
      <w:pPr>
        <w:spacing w:before="0" w:after="160" w:line="259" w:lineRule="auto"/>
        <w:rPr>
          <w:lang w:val="en-GB"/>
        </w:rPr>
      </w:pPr>
      <w:r w:rsidRPr="003C6345">
        <w:rPr>
          <w:lang w:val="en-GB"/>
        </w:rPr>
        <w:t>The following Methodology change</w:t>
      </w:r>
      <w:r w:rsidR="00A64163" w:rsidRPr="003C6345">
        <w:rPr>
          <w:lang w:val="en-GB"/>
        </w:rPr>
        <w:t>s</w:t>
      </w:r>
      <w:r w:rsidRPr="003C6345">
        <w:rPr>
          <w:lang w:val="en-GB"/>
        </w:rPr>
        <w:t xml:space="preserve"> are proposed in the following point</w:t>
      </w:r>
      <w:r w:rsidR="00A64163" w:rsidRPr="003C6345">
        <w:rPr>
          <w:lang w:val="en-GB"/>
        </w:rPr>
        <w:t>s</w:t>
      </w:r>
      <w:r w:rsidR="00A64163" w:rsidRPr="003C6345" w:rsidDel="00C77B4F">
        <w:rPr>
          <w:lang w:val="en-GB"/>
        </w:rPr>
        <w:t xml:space="preserve"> </w:t>
      </w:r>
      <w:r w:rsidR="00C32515" w:rsidRPr="003C6345">
        <w:rPr>
          <w:lang w:val="en-GB"/>
        </w:rPr>
        <w:t xml:space="preserve">of the Index Guideline </w:t>
      </w:r>
      <w:r w:rsidRPr="003C6345">
        <w:rPr>
          <w:lang w:val="en-GB"/>
        </w:rPr>
        <w:t>(ordered in accordance with the numbering of the affected sections):</w:t>
      </w:r>
    </w:p>
    <w:p w14:paraId="00A46F8A" w14:textId="77777777" w:rsidR="004538F8" w:rsidRDefault="004538F8" w:rsidP="0026131F">
      <w:pPr>
        <w:spacing w:before="0" w:after="160" w:line="259" w:lineRule="auto"/>
        <w:rPr>
          <w:lang w:val="en-GB"/>
        </w:rPr>
      </w:pPr>
    </w:p>
    <w:p w14:paraId="3DACDD1C" w14:textId="79FE5C0D" w:rsidR="00855397" w:rsidRPr="003C6345" w:rsidRDefault="004538F8" w:rsidP="002663E0">
      <w:pPr>
        <w:spacing w:before="0" w:after="160" w:line="259" w:lineRule="auto"/>
        <w:jc w:val="left"/>
        <w:rPr>
          <w:iCs/>
          <w:sz w:val="28"/>
          <w:szCs w:val="28"/>
          <w:lang w:val="en-GB"/>
        </w:rPr>
      </w:pPr>
      <w:r>
        <w:rPr>
          <w:iCs/>
          <w:sz w:val="28"/>
          <w:szCs w:val="28"/>
          <w:lang w:val="en-GB"/>
        </w:rPr>
        <w:t>Introduction</w:t>
      </w:r>
    </w:p>
    <w:p w14:paraId="0E2BDCB3" w14:textId="7589EB21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From:</w:t>
      </w:r>
    </w:p>
    <w:p w14:paraId="7B1841D6" w14:textId="77777777" w:rsidR="004538F8" w:rsidRDefault="004538F8" w:rsidP="002663E0">
      <w:pPr>
        <w:spacing w:before="0" w:after="160" w:line="259" w:lineRule="auto"/>
        <w:jc w:val="left"/>
        <w:rPr>
          <w:rFonts w:eastAsia="Calibri"/>
          <w:lang w:val="en-US" w:eastAsia="en-US"/>
        </w:rPr>
      </w:pPr>
      <w:r w:rsidRPr="006E1E58">
        <w:rPr>
          <w:rFonts w:eastAsia="Calibri"/>
          <w:lang w:val="en-US" w:eastAsia="en-US"/>
        </w:rPr>
        <w:t xml:space="preserve">The </w:t>
      </w:r>
      <w:r w:rsidRPr="006E1E58">
        <w:rPr>
          <w:rFonts w:eastAsia="Calibri"/>
          <w:smallCaps/>
          <w:lang w:val="en-US" w:eastAsia="en-US"/>
        </w:rPr>
        <w:t>Index</w:t>
      </w:r>
      <w:r w:rsidRPr="006E1E58">
        <w:rPr>
          <w:rFonts w:eastAsia="Calibri"/>
          <w:lang w:val="en-US" w:eastAsia="en-US"/>
        </w:rPr>
        <w:t xml:space="preserve"> is owned, calculated, administered and published by Solactive AG (“</w:t>
      </w:r>
      <w:r w:rsidRPr="006E1E58">
        <w:rPr>
          <w:rFonts w:ascii="Flama Semicondensed Medium" w:eastAsia="Calibri" w:hAnsi="Flama Semicondensed Medium"/>
          <w:smallCaps/>
          <w:lang w:val="en-US" w:eastAsia="en-US"/>
        </w:rPr>
        <w:t>Solactive</w:t>
      </w:r>
      <w:r w:rsidRPr="006E1E58">
        <w:rPr>
          <w:rFonts w:eastAsia="Calibri"/>
          <w:lang w:val="en-US" w:eastAsia="en-US"/>
        </w:rPr>
        <w:t>”) assuming the role as administrator (the “</w:t>
      </w:r>
      <w:r w:rsidRPr="006E1E58">
        <w:rPr>
          <w:rFonts w:ascii="Flama Semicondensed Medium" w:hAnsi="Flama Semicondensed Medium"/>
          <w:smallCaps/>
          <w:lang w:val="en-US"/>
        </w:rPr>
        <w:t>Index Administrator</w:t>
      </w:r>
      <w:r w:rsidRPr="006E1E58">
        <w:rPr>
          <w:rFonts w:eastAsia="Calibri"/>
          <w:lang w:val="en-US" w:eastAsia="en-US"/>
        </w:rPr>
        <w:t xml:space="preserve">”) under the </w:t>
      </w:r>
      <w:r w:rsidRPr="006E1E58">
        <w:rPr>
          <w:lang w:val="en-US"/>
        </w:rPr>
        <w:t>Regulation (EU) 2016/1011 (the “</w:t>
      </w:r>
      <w:r w:rsidRPr="006E1E58">
        <w:rPr>
          <w:rFonts w:ascii="Flama Semicondensed Medium" w:hAnsi="Flama Semicondensed Medium"/>
          <w:smallCaps/>
          <w:lang w:val="en-US"/>
        </w:rPr>
        <w:t>Benchmark Regulation</w:t>
      </w:r>
      <w:r w:rsidRPr="006E1E58">
        <w:rPr>
          <w:lang w:val="en-US"/>
        </w:rPr>
        <w:t>” or “</w:t>
      </w:r>
      <w:r w:rsidRPr="006E1E58">
        <w:rPr>
          <w:rFonts w:ascii="Flama Semicondensed Medium" w:hAnsi="Flama Semicondensed Medium"/>
          <w:smallCaps/>
          <w:lang w:val="en-US"/>
        </w:rPr>
        <w:t>BMR</w:t>
      </w:r>
      <w:r w:rsidRPr="006E1E58">
        <w:rPr>
          <w:lang w:val="en-US"/>
        </w:rPr>
        <w:t>”)</w:t>
      </w:r>
      <w:r w:rsidRPr="006E1E58">
        <w:rPr>
          <w:rFonts w:eastAsia="Calibri"/>
          <w:lang w:val="en-US" w:eastAsia="en-US"/>
        </w:rPr>
        <w:t>. The name “Solactive” is trademarked.</w:t>
      </w:r>
    </w:p>
    <w:p w14:paraId="3D259007" w14:textId="61364C41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To:</w:t>
      </w:r>
    </w:p>
    <w:p w14:paraId="724E9681" w14:textId="5FEB024B" w:rsidR="00855397" w:rsidRDefault="004538F8" w:rsidP="002663E0">
      <w:pPr>
        <w:spacing w:before="0" w:after="160" w:line="259" w:lineRule="auto"/>
        <w:jc w:val="left"/>
        <w:rPr>
          <w:iCs/>
          <w:lang w:val="en-GB"/>
        </w:rPr>
      </w:pPr>
      <w:r w:rsidRPr="006E1E58">
        <w:rPr>
          <w:rFonts w:eastAsia="Calibri"/>
          <w:lang w:val="en-US" w:eastAsia="en-US"/>
        </w:rPr>
        <w:t xml:space="preserve">The </w:t>
      </w:r>
      <w:r w:rsidRPr="006E1E58">
        <w:rPr>
          <w:rFonts w:eastAsia="Calibri"/>
          <w:smallCaps/>
          <w:lang w:val="en-US" w:eastAsia="en-US"/>
        </w:rPr>
        <w:t>Index</w:t>
      </w:r>
      <w:r w:rsidRPr="006E1E58">
        <w:rPr>
          <w:rFonts w:eastAsia="Calibri"/>
          <w:lang w:val="en-US" w:eastAsia="en-US"/>
        </w:rPr>
        <w:t xml:space="preserve"> is owned, calculated, administered and published by Solactive AG (“</w:t>
      </w:r>
      <w:r w:rsidRPr="006E1E58">
        <w:rPr>
          <w:rFonts w:ascii="Flama Semicondensed Medium" w:eastAsia="Calibri" w:hAnsi="Flama Semicondensed Medium"/>
          <w:smallCaps/>
          <w:lang w:val="en-US" w:eastAsia="en-US"/>
        </w:rPr>
        <w:t>Solactive</w:t>
      </w:r>
      <w:r w:rsidRPr="006E1E58">
        <w:rPr>
          <w:rFonts w:eastAsia="Calibri"/>
          <w:lang w:val="en-US" w:eastAsia="en-US"/>
        </w:rPr>
        <w:t>”) assuming the role as administrator (the “</w:t>
      </w:r>
      <w:r w:rsidRPr="006E1E58">
        <w:rPr>
          <w:rFonts w:ascii="Flama Semicondensed Medium" w:hAnsi="Flama Semicondensed Medium"/>
          <w:smallCaps/>
          <w:lang w:val="en-US"/>
        </w:rPr>
        <w:t>Index Administrator</w:t>
      </w:r>
      <w:r w:rsidRPr="006E1E58">
        <w:rPr>
          <w:rFonts w:eastAsia="Calibri"/>
          <w:lang w:val="en-US" w:eastAsia="en-US"/>
        </w:rPr>
        <w:t xml:space="preserve">”) </w:t>
      </w:r>
      <w:bookmarkStart w:id="1" w:name="_Hlk219407791"/>
      <w:proofErr w:type="spellStart"/>
      <w:r w:rsidRPr="004538F8">
        <w:rPr>
          <w:rFonts w:eastAsia="Calibri"/>
          <w:lang w:eastAsia="en-US"/>
        </w:rPr>
        <w:t>within</w:t>
      </w:r>
      <w:proofErr w:type="spellEnd"/>
      <w:r w:rsidRPr="004538F8">
        <w:rPr>
          <w:rFonts w:eastAsia="Calibri"/>
          <w:lang w:eastAsia="en-US"/>
        </w:rPr>
        <w:t xml:space="preserve"> </w:t>
      </w:r>
      <w:proofErr w:type="spellStart"/>
      <w:r w:rsidRPr="004538F8">
        <w:rPr>
          <w:rFonts w:eastAsia="Calibri"/>
          <w:lang w:eastAsia="en-US"/>
        </w:rPr>
        <w:t>the</w:t>
      </w:r>
      <w:proofErr w:type="spellEnd"/>
      <w:r w:rsidRPr="004538F8">
        <w:rPr>
          <w:rFonts w:eastAsia="Calibri"/>
          <w:lang w:eastAsia="en-US"/>
        </w:rPr>
        <w:t xml:space="preserve"> </w:t>
      </w:r>
      <w:proofErr w:type="spellStart"/>
      <w:r w:rsidRPr="004538F8">
        <w:rPr>
          <w:rFonts w:eastAsia="Calibri"/>
          <w:lang w:eastAsia="en-US"/>
        </w:rPr>
        <w:t>meaning</w:t>
      </w:r>
      <w:proofErr w:type="spellEnd"/>
      <w:r w:rsidRPr="004538F8">
        <w:rPr>
          <w:rFonts w:eastAsia="Calibri"/>
          <w:lang w:eastAsia="en-US"/>
        </w:rPr>
        <w:t xml:space="preserve"> </w:t>
      </w:r>
      <w:proofErr w:type="spellStart"/>
      <w:r w:rsidRPr="004538F8">
        <w:rPr>
          <w:rFonts w:eastAsia="Calibri"/>
          <w:lang w:eastAsia="en-US"/>
        </w:rPr>
        <w:t>of</w:t>
      </w:r>
      <w:proofErr w:type="spellEnd"/>
      <w:r w:rsidRPr="004538F8">
        <w:rPr>
          <w:rFonts w:eastAsia="Calibri"/>
          <w:lang w:eastAsia="en-US"/>
        </w:rPr>
        <w:t xml:space="preserve"> </w:t>
      </w:r>
      <w:proofErr w:type="spellStart"/>
      <w:r w:rsidRPr="004538F8">
        <w:rPr>
          <w:rFonts w:eastAsia="Calibri"/>
          <w:lang w:eastAsia="en-US"/>
        </w:rPr>
        <w:t>the</w:t>
      </w:r>
      <w:proofErr w:type="spellEnd"/>
      <w:r w:rsidRPr="004538F8">
        <w:rPr>
          <w:rFonts w:eastAsia="Calibri"/>
          <w:lang w:eastAsia="en-US"/>
        </w:rPr>
        <w:t xml:space="preserve"> </w:t>
      </w:r>
      <w:proofErr w:type="spellStart"/>
      <w:r w:rsidRPr="004538F8">
        <w:rPr>
          <w:rFonts w:eastAsia="Calibri"/>
          <w:lang w:eastAsia="en-US"/>
        </w:rPr>
        <w:t>Principles</w:t>
      </w:r>
      <w:proofErr w:type="spellEnd"/>
      <w:r w:rsidRPr="004538F8">
        <w:rPr>
          <w:rFonts w:eastAsia="Calibri"/>
          <w:lang w:eastAsia="en-US"/>
        </w:rPr>
        <w:t xml:space="preserve"> </w:t>
      </w:r>
      <w:proofErr w:type="spellStart"/>
      <w:r w:rsidRPr="004538F8">
        <w:rPr>
          <w:rFonts w:eastAsia="Calibri"/>
          <w:lang w:eastAsia="en-US"/>
        </w:rPr>
        <w:t>for</w:t>
      </w:r>
      <w:proofErr w:type="spellEnd"/>
      <w:r w:rsidRPr="004538F8">
        <w:rPr>
          <w:rFonts w:eastAsia="Calibri"/>
          <w:lang w:eastAsia="en-US"/>
        </w:rPr>
        <w:t xml:space="preserve"> Financial Benchmarks </w:t>
      </w:r>
      <w:proofErr w:type="spellStart"/>
      <w:r w:rsidRPr="004538F8">
        <w:rPr>
          <w:rFonts w:eastAsia="Calibri"/>
          <w:lang w:eastAsia="en-US"/>
        </w:rPr>
        <w:t>published</w:t>
      </w:r>
      <w:proofErr w:type="spellEnd"/>
      <w:r w:rsidRPr="004538F8">
        <w:rPr>
          <w:rFonts w:eastAsia="Calibri"/>
          <w:lang w:eastAsia="en-US"/>
        </w:rPr>
        <w:t xml:space="preserve"> </w:t>
      </w:r>
      <w:proofErr w:type="spellStart"/>
      <w:r w:rsidRPr="004538F8">
        <w:rPr>
          <w:rFonts w:eastAsia="Calibri"/>
          <w:lang w:eastAsia="en-US"/>
        </w:rPr>
        <w:t>by</w:t>
      </w:r>
      <w:proofErr w:type="spellEnd"/>
      <w:r w:rsidRPr="004538F8">
        <w:rPr>
          <w:rFonts w:eastAsia="Calibri"/>
          <w:lang w:eastAsia="en-US"/>
        </w:rPr>
        <w:t xml:space="preserve"> </w:t>
      </w:r>
      <w:proofErr w:type="spellStart"/>
      <w:r w:rsidRPr="004538F8">
        <w:rPr>
          <w:rFonts w:eastAsia="Calibri"/>
          <w:lang w:eastAsia="en-US"/>
        </w:rPr>
        <w:t>the</w:t>
      </w:r>
      <w:proofErr w:type="spellEnd"/>
      <w:r w:rsidRPr="004538F8">
        <w:rPr>
          <w:rFonts w:eastAsia="Calibri"/>
          <w:lang w:eastAsia="en-US"/>
        </w:rPr>
        <w:t xml:space="preserve"> International Organization </w:t>
      </w:r>
      <w:proofErr w:type="spellStart"/>
      <w:r w:rsidRPr="004538F8">
        <w:rPr>
          <w:rFonts w:eastAsia="Calibri"/>
          <w:lang w:eastAsia="en-US"/>
        </w:rPr>
        <w:t>of</w:t>
      </w:r>
      <w:proofErr w:type="spellEnd"/>
      <w:r w:rsidRPr="004538F8">
        <w:rPr>
          <w:rFonts w:eastAsia="Calibri"/>
          <w:lang w:eastAsia="en-US"/>
        </w:rPr>
        <w:t xml:space="preserve"> Securities </w:t>
      </w:r>
      <w:proofErr w:type="spellStart"/>
      <w:r w:rsidRPr="004538F8">
        <w:rPr>
          <w:rFonts w:eastAsia="Calibri"/>
          <w:lang w:eastAsia="en-US"/>
        </w:rPr>
        <w:t>Commissions</w:t>
      </w:r>
      <w:proofErr w:type="spellEnd"/>
      <w:r w:rsidRPr="004538F8">
        <w:rPr>
          <w:rFonts w:eastAsia="Calibri"/>
          <w:lang w:eastAsia="en-US"/>
        </w:rPr>
        <w:t xml:space="preserve"> in </w:t>
      </w:r>
      <w:proofErr w:type="spellStart"/>
      <w:r w:rsidRPr="004538F8">
        <w:rPr>
          <w:rFonts w:eastAsia="Calibri"/>
          <w:lang w:eastAsia="en-US"/>
        </w:rPr>
        <w:t>July</w:t>
      </w:r>
      <w:proofErr w:type="spellEnd"/>
      <w:r w:rsidRPr="004538F8">
        <w:rPr>
          <w:rFonts w:eastAsia="Calibri"/>
          <w:lang w:eastAsia="en-US"/>
        </w:rPr>
        <w:t xml:space="preserve"> 2013</w:t>
      </w:r>
      <w:r w:rsidRPr="006E1E58">
        <w:rPr>
          <w:rFonts w:eastAsia="Calibri"/>
          <w:lang w:val="en-US" w:eastAsia="en-US"/>
        </w:rPr>
        <w:t>.</w:t>
      </w:r>
      <w:bookmarkEnd w:id="1"/>
      <w:r w:rsidRPr="006E1E58">
        <w:rPr>
          <w:rFonts w:eastAsia="Calibri"/>
          <w:lang w:val="en-US" w:eastAsia="en-US"/>
        </w:rPr>
        <w:t xml:space="preserve"> The name “Solactive” is trademarked.</w:t>
      </w:r>
    </w:p>
    <w:p w14:paraId="3B232588" w14:textId="77777777" w:rsidR="004538F8" w:rsidRDefault="004538F8" w:rsidP="002663E0">
      <w:pPr>
        <w:spacing w:before="0" w:after="160" w:line="259" w:lineRule="auto"/>
        <w:jc w:val="left"/>
        <w:rPr>
          <w:iCs/>
          <w:lang w:val="en-GB"/>
        </w:rPr>
      </w:pPr>
    </w:p>
    <w:p w14:paraId="5D58162A" w14:textId="32C498B5" w:rsidR="00855397" w:rsidRPr="003C6345" w:rsidRDefault="00855397" w:rsidP="002663E0">
      <w:pPr>
        <w:spacing w:before="0" w:after="160" w:line="259" w:lineRule="auto"/>
        <w:jc w:val="left"/>
        <w:rPr>
          <w:iCs/>
          <w:sz w:val="28"/>
          <w:szCs w:val="28"/>
          <w:lang w:val="en-GB"/>
        </w:rPr>
      </w:pPr>
      <w:r w:rsidRPr="003C6345">
        <w:rPr>
          <w:iCs/>
          <w:sz w:val="28"/>
          <w:szCs w:val="28"/>
          <w:lang w:val="en-GB"/>
        </w:rPr>
        <w:t>Section 2.3: Weighting of the Index Components</w:t>
      </w:r>
    </w:p>
    <w:p w14:paraId="297B5B8D" w14:textId="65523A9C" w:rsidR="00855397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lastRenderedPageBreak/>
        <w:t>From:</w:t>
      </w:r>
    </w:p>
    <w:p w14:paraId="26172990" w14:textId="1727F29F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p w14:paraId="366BC567" w14:textId="77777777" w:rsidR="004538F8" w:rsidRPr="006E1E58" w:rsidRDefault="00EA1A30" w:rsidP="004538F8">
      <w:pPr>
        <w:spacing w:before="0" w:after="160" w:line="259" w:lineRule="auto"/>
        <w:jc w:val="left"/>
        <w:rPr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 w:eastAsia="en-US"/>
                </w:rPr>
                <m:t>w</m:t>
              </m:r>
            </m:e>
            <m:sub>
              <m:r>
                <w:rPr>
                  <w:rFonts w:ascii="Cambria Math" w:hAnsi="Cambria Math"/>
                  <w:lang w:val="en-US" w:eastAsia="en-US"/>
                </w:rPr>
                <m:t>i,t</m:t>
              </m:r>
            </m:sub>
          </m:sSub>
          <m:r>
            <w:rPr>
              <w:rFonts w:ascii="Cambria Math" w:hAnsi="Cambria Math"/>
              <w:lang w:val="en-US" w:eastAsia="en-US"/>
            </w:rPr>
            <m:t>=</m:t>
          </m:r>
          <m:f>
            <m:fPr>
              <m:ctrlPr>
                <w:rPr>
                  <w:rFonts w:ascii="Cambria Math" w:hAnsi="Cambria Math"/>
                  <w:lang w:val="en-US"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 w:eastAsia="en-US"/>
                    </w:rPr>
                    <m:t>i,t</m:t>
                  </m:r>
                </m:sub>
                <m:sup>
                  <m:r>
                    <w:rPr>
                      <w:rFonts w:ascii="Cambria Math" w:hAnsi="Cambria Math"/>
                      <w:lang w:val="en-US" w:eastAsia="en-US"/>
                    </w:rPr>
                    <m:t>final</m:t>
                  </m:r>
                </m:sup>
              </m:sSubSup>
              <m:r>
                <w:rPr>
                  <w:rFonts w:ascii="Cambria Math" w:hAnsi="Cambria Math"/>
                  <w:lang w:val="en-US" w:eastAsia="en-US"/>
                </w:rPr>
                <m:t>*MCA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 w:eastAsia="en-US"/>
                    </w:rPr>
                    <m:t>i,t</m:t>
                  </m:r>
                </m:sub>
              </m:sSub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num>
            <m:den>
              <m:nary>
                <m:naryPr>
                  <m:chr m:val="∑"/>
                  <m:ctrlPr>
                    <w:rPr>
                      <w:rFonts w:ascii="Cambria Math" w:hAnsi="Cambria Math"/>
                      <w:lang w:val="en-US" w:eastAsia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 w:eastAsia="en-US"/>
                    </w:rPr>
                    <m:t>i=1</m:t>
                  </m: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ub>
                <m:sup>
                  <m:r>
                    <w:rPr>
                      <w:rFonts w:ascii="Cambria Math" w:hAnsi="Cambria Math"/>
                      <w:lang w:val="en-US" w:eastAsia="en-US"/>
                    </w:rPr>
                    <m:t>N</m:t>
                  </m: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 w:eastAsia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lang w:val="en-US" w:eastAsia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i,t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final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lang w:val="en-US" w:eastAsia="en-US"/>
                        </w:rPr>
                        <m:t>*MCA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i,t</m:t>
                          </m:r>
                        </m:sub>
                      </m:sSub>
                    </m:e>
                  </m:d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e>
              </m:nary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den>
          </m:f>
        </m:oMath>
      </m:oMathPara>
    </w:p>
    <w:p w14:paraId="6980B48F" w14:textId="33CACCA9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p w14:paraId="46EE6524" w14:textId="77777777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</w:p>
    <w:p w14:paraId="0D0E68B7" w14:textId="25A6A015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To:</w:t>
      </w:r>
    </w:p>
    <w:p w14:paraId="0E2AFEB4" w14:textId="61BBC8A8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p w14:paraId="73184424" w14:textId="77777777" w:rsidR="004538F8" w:rsidRPr="006E1E58" w:rsidRDefault="00EA1A30" w:rsidP="004538F8">
      <w:pPr>
        <w:spacing w:before="0" w:after="160" w:line="259" w:lineRule="auto"/>
        <w:jc w:val="left"/>
        <w:rPr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 w:eastAsia="en-US"/>
                </w:rPr>
                <m:t>w</m:t>
              </m:r>
            </m:e>
            <m:sub>
              <m:r>
                <w:rPr>
                  <w:rFonts w:ascii="Cambria Math" w:hAnsi="Cambria Math"/>
                  <w:lang w:val="en-US" w:eastAsia="en-US"/>
                </w:rPr>
                <m:t>i,t</m:t>
              </m:r>
            </m:sub>
          </m:sSub>
          <m:r>
            <w:rPr>
              <w:rFonts w:ascii="Cambria Math" w:hAnsi="Cambria Math"/>
              <w:lang w:val="en-US" w:eastAsia="en-US"/>
            </w:rPr>
            <m:t>=</m:t>
          </m:r>
          <m:f>
            <m:fPr>
              <m:ctrlPr>
                <w:rPr>
                  <w:rFonts w:ascii="Cambria Math" w:hAnsi="Cambria Math"/>
                  <w:lang w:val="en-US"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 w:eastAsia="en-US"/>
                    </w:rPr>
                    <m:t>i,t</m:t>
                  </m:r>
                </m:sub>
                <m:sup>
                  <m:r>
                    <w:rPr>
                      <w:rFonts w:ascii="Cambria Math" w:hAnsi="Cambria Math"/>
                      <w:lang w:val="en-US" w:eastAsia="en-US"/>
                    </w:rPr>
                    <m:t>final</m:t>
                  </m:r>
                </m:sup>
              </m:sSubSup>
              <m:r>
                <w:rPr>
                  <w:rFonts w:ascii="Cambria Math" w:hAnsi="Cambria Math"/>
                  <w:lang w:val="en-US" w:eastAsia="en-US"/>
                </w:rPr>
                <m:t>*MCA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 w:eastAsia="en-US"/>
                    </w:rPr>
                    <m:t>i,t</m:t>
                  </m:r>
                </m:sub>
              </m:sSub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num>
            <m:den>
              <m:nary>
                <m:naryPr>
                  <m:chr m:val="∑"/>
                  <m:ctrlPr>
                    <w:rPr>
                      <w:rFonts w:ascii="Cambria Math" w:hAnsi="Cambria Math"/>
                      <w:lang w:val="en-US" w:eastAsia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 w:eastAsia="en-US"/>
                    </w:rPr>
                    <m:t>i=1</m:t>
                  </m: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ub>
                <m:sup>
                  <m:r>
                    <w:rPr>
                      <w:rFonts w:ascii="Cambria Math" w:hAnsi="Cambria Math"/>
                      <w:lang w:val="en-US" w:eastAsia="en-US"/>
                    </w:rPr>
                    <m:t>N</m:t>
                  </m: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 w:eastAsia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lang w:val="en-US" w:eastAsia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i,t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final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lang w:val="en-US" w:eastAsia="en-US"/>
                        </w:rPr>
                        <m:t>*MCA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 w:eastAsia="en-US"/>
                            </w:rPr>
                            <m:t>i,t</m:t>
                          </m:r>
                        </m:sub>
                      </m:sSub>
                    </m:e>
                  </m:d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e>
              </m:nary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den>
          </m:f>
        </m:oMath>
      </m:oMathPara>
    </w:p>
    <w:p w14:paraId="29DC0071" w14:textId="7AFAC0FE" w:rsidR="004538F8" w:rsidRDefault="004538F8" w:rsidP="002663E0">
      <w:pPr>
        <w:spacing w:before="0" w:after="160" w:line="259" w:lineRule="auto"/>
        <w:jc w:val="left"/>
        <w:rPr>
          <w:iCs/>
          <w:lang w:val="en-US"/>
        </w:rPr>
      </w:pPr>
      <w:r w:rsidRPr="00CE14F8">
        <w:rPr>
          <w:lang w:val="en-US" w:eastAsia="en-US"/>
        </w:rPr>
        <w:t xml:space="preserve">Cumulative Weights of the INDEX COMPONENTS </w:t>
      </w:r>
      <w:proofErr w:type="gramStart"/>
      <w:r w:rsidRPr="00CE14F8">
        <w:rPr>
          <w:lang w:val="en-US" w:eastAsia="en-US"/>
        </w:rPr>
        <w:t>in excess of</w:t>
      </w:r>
      <w:proofErr w:type="gramEnd"/>
      <w:r w:rsidRPr="00CE14F8">
        <w:rPr>
          <w:lang w:val="en-US" w:eastAsia="en-US"/>
        </w:rPr>
        <w:t xml:space="preserve"> 5% are capped at 25% and the excess weight will be redistributed proportionally among all INDEX COMPONENTS with a weight of less than 5%.</w:t>
      </w:r>
    </w:p>
    <w:p w14:paraId="74D9D74A" w14:textId="039C9A66" w:rsidR="003E7A40" w:rsidRPr="003C6345" w:rsidRDefault="003E7A40" w:rsidP="002663E0">
      <w:pPr>
        <w:spacing w:before="0" w:after="160" w:line="259" w:lineRule="auto"/>
        <w:jc w:val="left"/>
        <w:rPr>
          <w:iCs/>
          <w:lang w:val="en-US"/>
        </w:rPr>
      </w:pPr>
      <w:r>
        <w:rPr>
          <w:iCs/>
          <w:lang w:val="en-US"/>
        </w:rPr>
        <w:t>[…]</w:t>
      </w:r>
    </w:p>
    <w:p w14:paraId="28BF5466" w14:textId="77777777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</w:p>
    <w:p w14:paraId="74158F92" w14:textId="77777777" w:rsidR="003E7A40" w:rsidRPr="003C6345" w:rsidRDefault="003E7A40" w:rsidP="002663E0">
      <w:pPr>
        <w:spacing w:before="0" w:after="160" w:line="259" w:lineRule="auto"/>
        <w:jc w:val="left"/>
        <w:rPr>
          <w:iCs/>
          <w:lang w:val="en-US"/>
        </w:rPr>
      </w:pPr>
    </w:p>
    <w:p w14:paraId="45154AF2" w14:textId="07D24575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D352A3E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lastRenderedPageBreak/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3C6345">
        <w:rPr>
          <w:lang w:val="en-US"/>
        </w:rPr>
        <w:t xml:space="preserve">Solactive SoFi US 500 Growth </w:t>
      </w:r>
      <w:r w:rsidR="004538F8">
        <w:rPr>
          <w:lang w:val="en-US"/>
        </w:rPr>
        <w:t>Indices</w:t>
      </w:r>
      <w:r w:rsidR="003C6345" w:rsidRPr="003C6345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7C590989" w:rsidR="005055F5" w:rsidRDefault="005055F5" w:rsidP="005055F5">
      <w:pPr>
        <w:spacing w:before="0" w:after="0" w:line="360" w:lineRule="auto"/>
        <w:rPr>
          <w:lang w:val="en-US"/>
        </w:rPr>
      </w:pPr>
      <w:r w:rsidRPr="003C6345">
        <w:rPr>
          <w:lang w:val="en-US"/>
        </w:rPr>
        <w:t xml:space="preserve">Stakeholders and third parties who are interested in participating in this Market </w:t>
      </w:r>
      <w:proofErr w:type="gramStart"/>
      <w:r w:rsidRPr="003C6345">
        <w:rPr>
          <w:lang w:val="en-US"/>
        </w:rPr>
        <w:t>Consultation,</w:t>
      </w:r>
      <w:proofErr w:type="gramEnd"/>
      <w:r w:rsidRPr="003C6345">
        <w:rPr>
          <w:lang w:val="en-US"/>
        </w:rPr>
        <w:t xml:space="preserve"> are invited to respond until </w:t>
      </w:r>
      <w:r w:rsidR="00110E04" w:rsidRPr="003C6345">
        <w:rPr>
          <w:i/>
          <w:lang w:val="en-US"/>
        </w:rPr>
        <w:t>202</w:t>
      </w:r>
      <w:r w:rsidR="00EE5983">
        <w:rPr>
          <w:i/>
          <w:lang w:val="en-US"/>
        </w:rPr>
        <w:t>6</w:t>
      </w:r>
      <w:r w:rsidR="00110E04" w:rsidRPr="003C6345">
        <w:rPr>
          <w:i/>
          <w:lang w:val="en-US"/>
        </w:rPr>
        <w:t>-</w:t>
      </w:r>
      <w:r w:rsidR="00EE5983">
        <w:rPr>
          <w:i/>
          <w:lang w:val="en-US"/>
        </w:rPr>
        <w:t>01</w:t>
      </w:r>
      <w:r w:rsidR="00110E04" w:rsidRPr="003C6345">
        <w:rPr>
          <w:i/>
          <w:lang w:val="en-US"/>
        </w:rPr>
        <w:t>-</w:t>
      </w:r>
      <w:r w:rsidR="00EE5983">
        <w:rPr>
          <w:i/>
          <w:lang w:val="en-US"/>
        </w:rPr>
        <w:t>29</w:t>
      </w:r>
      <w:r w:rsidRPr="003C6345">
        <w:rPr>
          <w:lang w:val="en-US"/>
        </w:rPr>
        <w:t>.</w:t>
      </w:r>
    </w:p>
    <w:p w14:paraId="741A56A5" w14:textId="2AFA54E8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r w:rsidRPr="00FE1081">
        <w:rPr>
          <w:lang w:val="en-US"/>
        </w:rPr>
        <w:t xml:space="preserve">become effective on </w:t>
      </w:r>
      <w:r w:rsidR="00110E04">
        <w:rPr>
          <w:i/>
          <w:lang w:val="en-US"/>
        </w:rPr>
        <w:t>202</w:t>
      </w:r>
      <w:r w:rsidR="00EE5983">
        <w:rPr>
          <w:i/>
          <w:lang w:val="en-US"/>
        </w:rPr>
        <w:t>6</w:t>
      </w:r>
      <w:r w:rsidR="00110E04">
        <w:rPr>
          <w:i/>
          <w:lang w:val="en-US"/>
        </w:rPr>
        <w:t>-</w:t>
      </w:r>
      <w:r w:rsidR="00EE5983">
        <w:rPr>
          <w:i/>
          <w:lang w:val="en-US"/>
        </w:rPr>
        <w:t>02</w:t>
      </w:r>
      <w:r w:rsidR="00110E04">
        <w:rPr>
          <w:i/>
          <w:lang w:val="en-US"/>
        </w:rPr>
        <w:t>-</w:t>
      </w:r>
      <w:r w:rsidR="00EE5983">
        <w:rPr>
          <w:i/>
          <w:lang w:val="en-US"/>
        </w:rPr>
        <w:t>12</w:t>
      </w:r>
      <w:r w:rsidR="004819FA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69385FEB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110E04" w:rsidRPr="00110E04">
        <w:rPr>
          <w:lang w:val="en-US"/>
        </w:rPr>
        <w:t xml:space="preserve">Solactive SoFi US 500 Growth </w:t>
      </w:r>
      <w:r w:rsidR="004538F8">
        <w:rPr>
          <w:lang w:val="en-US"/>
        </w:rPr>
        <w:t>Indices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lastRenderedPageBreak/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032E84-ABB7-42E4-8027-D16E8378BDF2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515ECF85-5BB4-4D47-A4C6-E6E2C8AD16C2}"/>
    <w:embedBold r:id="rId3" w:fontKey="{84067783-5745-4BF3-8713-67321224AAE6}"/>
    <w:embedItalic r:id="rId4" w:fontKey="{BC1A4486-C3CC-4449-8C10-9BF38A582D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B6921D3-BC09-4051-9E19-285F3BB43779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E24B7725-5923-4D82-91F2-FDB9D24A29C5}"/>
    <w:embedBold r:id="rId7" w:fontKey="{37F7D9A9-CE15-4282-BD5A-80E439A216E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018AAB0-A199-4DF8-B66D-D61FFF6CF822}"/>
    <w:embedItalic r:id="rId9" w:fontKey="{E198B04F-7404-449F-A0AA-0919ACE3BB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88967C9-2FC9-4118-86EA-41372ABB9B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4AD5F143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A1A30">
          <w:rPr>
            <w:lang w:val="en-US"/>
          </w:rPr>
          <w:t>Market Consultation Solactive SoFi US 500 Growth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.9pt;height:19.9pt" o:bullet="t">
        <v:imagedata r:id="rId1" o:title="S_Icons-Haken_02"/>
      </v:shape>
    </w:pict>
  </w:numPicBullet>
  <w:numPicBullet w:numPicBulletId="1">
    <w:pict>
      <v:shape w14:anchorId="42E02C1B" id="_x0000_i1026" type="#_x0000_t75" style="width:19.9pt;height:19.9pt" o:bullet="t">
        <v:imagedata r:id="rId2" o:title="S_Icons-Pfeil_02"/>
      </v:shape>
    </w:pict>
  </w:numPicBullet>
  <w:numPicBullet w:numPicBulletId="2">
    <w:pict>
      <v:shape w14:anchorId="4360039E" id="_x0000_i1027" type="#_x0000_t75" style="width:15.35pt;height:15.85pt" o:bullet="t">
        <v:imagedata r:id="rId3" o:title="Bullet_2_Indices_Small"/>
      </v:shape>
    </w:pict>
  </w:numPicBullet>
  <w:numPicBullet w:numPicBulletId="3">
    <w:pict>
      <v:shape id="_x0000_i1028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070382">
    <w:abstractNumId w:val="5"/>
  </w:num>
  <w:num w:numId="2" w16cid:durableId="1620987722">
    <w:abstractNumId w:val="6"/>
  </w:num>
  <w:num w:numId="3" w16cid:durableId="1395540177">
    <w:abstractNumId w:val="15"/>
  </w:num>
  <w:num w:numId="4" w16cid:durableId="2088725760">
    <w:abstractNumId w:val="19"/>
  </w:num>
  <w:num w:numId="5" w16cid:durableId="43062551">
    <w:abstractNumId w:val="14"/>
  </w:num>
  <w:num w:numId="6" w16cid:durableId="1799641143">
    <w:abstractNumId w:val="7"/>
  </w:num>
  <w:num w:numId="7" w16cid:durableId="2136484897">
    <w:abstractNumId w:val="18"/>
  </w:num>
  <w:num w:numId="8" w16cid:durableId="2037388421">
    <w:abstractNumId w:val="3"/>
  </w:num>
  <w:num w:numId="9" w16cid:durableId="1827938956">
    <w:abstractNumId w:val="12"/>
  </w:num>
  <w:num w:numId="10" w16cid:durableId="1857036243">
    <w:abstractNumId w:val="11"/>
  </w:num>
  <w:num w:numId="11" w16cid:durableId="321616543">
    <w:abstractNumId w:val="2"/>
  </w:num>
  <w:num w:numId="12" w16cid:durableId="1568959027">
    <w:abstractNumId w:val="1"/>
  </w:num>
  <w:num w:numId="13" w16cid:durableId="1939025599">
    <w:abstractNumId w:val="13"/>
  </w:num>
  <w:num w:numId="14" w16cid:durableId="478310382">
    <w:abstractNumId w:val="9"/>
  </w:num>
  <w:num w:numId="15" w16cid:durableId="417675775">
    <w:abstractNumId w:val="4"/>
  </w:num>
  <w:num w:numId="16" w16cid:durableId="984547348">
    <w:abstractNumId w:val="10"/>
  </w:num>
  <w:num w:numId="17" w16cid:durableId="1419715388">
    <w:abstractNumId w:val="20"/>
  </w:num>
  <w:num w:numId="18" w16cid:durableId="1698113917">
    <w:abstractNumId w:val="8"/>
  </w:num>
  <w:num w:numId="19" w16cid:durableId="1883905738">
    <w:abstractNumId w:val="16"/>
  </w:num>
  <w:num w:numId="20" w16cid:durableId="318389003">
    <w:abstractNumId w:val="17"/>
  </w:num>
  <w:num w:numId="21" w16cid:durableId="608784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0E04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18AC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C6345"/>
    <w:rsid w:val="003D0D25"/>
    <w:rsid w:val="003D0F21"/>
    <w:rsid w:val="003E3204"/>
    <w:rsid w:val="003E7A40"/>
    <w:rsid w:val="003F570C"/>
    <w:rsid w:val="0040784E"/>
    <w:rsid w:val="00420437"/>
    <w:rsid w:val="00420C1C"/>
    <w:rsid w:val="0043684B"/>
    <w:rsid w:val="00447C88"/>
    <w:rsid w:val="00447DC5"/>
    <w:rsid w:val="004538B8"/>
    <w:rsid w:val="004538F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61988"/>
    <w:rsid w:val="00572562"/>
    <w:rsid w:val="00574BAF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A29D6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55397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1A80"/>
    <w:rsid w:val="00DD3C44"/>
    <w:rsid w:val="00DE21FE"/>
    <w:rsid w:val="00DE29BE"/>
    <w:rsid w:val="00DE7F6A"/>
    <w:rsid w:val="00DF25E7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1A30"/>
    <w:rsid w:val="00EA23FA"/>
    <w:rsid w:val="00EA4B8A"/>
    <w:rsid w:val="00EC2BCA"/>
    <w:rsid w:val="00ED0760"/>
    <w:rsid w:val="00EE22E3"/>
    <w:rsid w:val="00EE598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855397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61988"/>
    <w:rsid w:val="00574BAF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DD1A80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2019-10-02T00:00:00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489</Words>
  <Characters>2889</Characters>
  <Application>Microsoft Office Word</Application>
  <DocSecurity>0</DocSecurity>
  <Lines>152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SoFi US 500 Growth Index</vt:lpstr>
      <vt:lpstr>Index Calculation Guideline</vt:lpstr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SoFi US 500 Growth Indices</dc:title>
  <dc:subject>Calculation Documents &amp; Methodologies</dc:subject>
  <dc:creator>Solactive AG</dc:creator>
  <cp:keywords/>
  <dc:description/>
  <cp:lastModifiedBy>Pirlot, Louis</cp:lastModifiedBy>
  <cp:revision>22</cp:revision>
  <cp:lastPrinted>2018-12-10T16:54:00Z</cp:lastPrinted>
  <dcterms:created xsi:type="dcterms:W3CDTF">2021-11-16T06:38:00Z</dcterms:created>
  <dcterms:modified xsi:type="dcterms:W3CDTF">2026-01-16T03:22:00Z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