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41786EBF" w:rsidR="0092193A" w:rsidRPr="0097651D" w:rsidRDefault="00F74763" w:rsidP="0092193A">
              <w:pPr>
                <w:pStyle w:val="Title"/>
                <w:rPr>
                  <w:lang w:val="en-US"/>
                </w:rPr>
              </w:pPr>
              <w:r w:rsidRPr="00F74763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Pr="00F74763">
                <w:rPr>
                  <w:color w:val="FFFFFF" w:themeColor="background1"/>
                  <w:lang w:val="en-US"/>
                </w:rPr>
                <w:t>NYLI Candriam U.S. Large Cap</w:t>
              </w:r>
              <w:r>
                <w:rPr>
                  <w:color w:val="FFFFFF" w:themeColor="background1"/>
                  <w:lang w:val="en-US"/>
                </w:rPr>
                <w:t>/</w:t>
              </w:r>
              <w:proofErr w:type="gramStart"/>
              <w:r>
                <w:rPr>
                  <w:color w:val="FFFFFF" w:themeColor="background1"/>
                  <w:lang w:val="en-US"/>
                </w:rPr>
                <w:t>U.S</w:t>
              </w:r>
              <w:proofErr w:type="gramEnd"/>
              <w:r>
                <w:rPr>
                  <w:color w:val="FFFFFF" w:themeColor="background1"/>
                  <w:lang w:val="en-US"/>
                </w:rPr>
                <w:t xml:space="preserve"> Mid CAP/International equity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E9AD756" w:rsidR="00466905" w:rsidRPr="00D902A1" w:rsidRDefault="0004127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0-0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7476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03 October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E9AD756" w:rsidR="00466905" w:rsidRPr="00D902A1" w:rsidRDefault="0004127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0-0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7476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03 October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4F4A53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04127B">
        <w:rPr>
          <w:lang w:val="en-US"/>
        </w:rPr>
        <w:t>Ind</w:t>
      </w:r>
      <w:r w:rsidR="00E05994" w:rsidRPr="0004127B">
        <w:rPr>
          <w:lang w:val="en-US"/>
        </w:rPr>
        <w:t>ices</w:t>
      </w:r>
      <w:r w:rsidR="00E05994">
        <w:rPr>
          <w:lang w:val="en-US"/>
        </w:rPr>
        <w:t xml:space="preserve"> (the </w:t>
      </w:r>
      <w:r w:rsidR="00A97E61" w:rsidRPr="0004127B">
        <w:rPr>
          <w:lang w:val="en-US"/>
        </w:rPr>
        <w:t>Ind</w:t>
      </w:r>
      <w:r w:rsidR="00E05994" w:rsidRPr="0004127B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F6549F" w:rsidRPr="00F6549F" w14:paraId="07D98827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847C8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U.S. Large Cap Equity Index-Price Change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A94B2F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.IQESGUS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B6409C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DE000SLA99K5</w:t>
            </w:r>
          </w:p>
        </w:tc>
      </w:tr>
      <w:tr w:rsidR="00F6549F" w:rsidRPr="00F6549F" w14:paraId="196525F5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48EDBA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U.S. Large Cap Equity Index-Total Return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D4BCD4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.IQESGUST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5CFD10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DE000SLA99L3</w:t>
            </w:r>
          </w:p>
        </w:tc>
      </w:tr>
      <w:tr w:rsidR="00F6549F" w:rsidRPr="00F6549F" w14:paraId="310766C1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6DE4FF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U.S. Mid Cap Equity Index-Price Change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F6DEEF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.IQESGUM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D33790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DE000SL0GM02</w:t>
            </w:r>
          </w:p>
        </w:tc>
      </w:tr>
      <w:tr w:rsidR="00F6549F" w:rsidRPr="00F6549F" w14:paraId="2EF4ECBB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FDD2FB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U.S. Mid Cap Equity Index-Net Total Return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93AAFF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.IQESGUMN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13BAE0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DE000SL0GM10</w:t>
            </w:r>
          </w:p>
        </w:tc>
      </w:tr>
      <w:tr w:rsidR="00F6549F" w:rsidRPr="00F6549F" w14:paraId="405F146C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2A951C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U.S. Mid Cap Equity Index-Total Return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A6F81C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.IQESGUMT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9391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DE000SL0GM28</w:t>
            </w:r>
          </w:p>
        </w:tc>
      </w:tr>
      <w:tr w:rsidR="00F6549F" w:rsidRPr="00F6549F" w14:paraId="6D0DF07D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A9F458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proofErr w:type="gram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 International</w:t>
            </w:r>
            <w:proofErr w:type="gram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Equity Index-Price Change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3A50A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.IQESGIN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3450D6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DE000SLA99G3</w:t>
            </w:r>
          </w:p>
        </w:tc>
      </w:tr>
      <w:tr w:rsidR="00F6549F" w:rsidRPr="00F6549F" w14:paraId="05A7F784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CFE7F1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proofErr w:type="gram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 International</w:t>
            </w:r>
            <w:proofErr w:type="gram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Equity Index-NTR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01DE3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.IQESGINN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B5EF3E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DE000SLA99H1</w:t>
            </w:r>
          </w:p>
        </w:tc>
      </w:tr>
      <w:tr w:rsidR="00F6549F" w:rsidRPr="00F6549F" w14:paraId="325D5B5D" w14:textId="77777777" w:rsidTr="00F6549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CF3C33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NYLI </w:t>
            </w:r>
            <w:proofErr w:type="spellStart"/>
            <w:proofErr w:type="gramStart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Candriam</w:t>
            </w:r>
            <w:proofErr w:type="spell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 International</w:t>
            </w:r>
            <w:proofErr w:type="gramEnd"/>
            <w:r w:rsidRPr="00F6549F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Equity Index-Total Return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4541AE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F6549F">
              <w:rPr>
                <w:rFonts w:eastAsia="Calibri"/>
                <w:color w:val="000000"/>
                <w:lang w:val="en-GB" w:eastAsia="en-US"/>
              </w:rPr>
              <w:t>.IQESGINT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F558D2" w14:textId="77777777" w:rsidR="00F6549F" w:rsidRPr="00F6549F" w:rsidRDefault="00F6549F" w:rsidP="00F6549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6549F">
              <w:rPr>
                <w:rFonts w:eastAsia="Calibri"/>
                <w:color w:val="000000"/>
                <w:lang w:val="en-GB" w:eastAsia="en-US"/>
              </w:rPr>
              <w:t>DE000SLA99J7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693B1A52" w:rsidR="007E47D4" w:rsidRDefault="00F6549F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F6549F">
        <w:rPr>
          <w:lang w:val="en-GB"/>
        </w:rPr>
        <w:t xml:space="preserve">NYLI </w:t>
      </w:r>
      <w:proofErr w:type="spellStart"/>
      <w:r w:rsidRPr="00F6549F">
        <w:rPr>
          <w:lang w:val="en-GB"/>
        </w:rPr>
        <w:t>Candriam</w:t>
      </w:r>
      <w:proofErr w:type="spellEnd"/>
      <w:r>
        <w:rPr>
          <w:lang w:val="en-GB"/>
        </w:rPr>
        <w:t xml:space="preserve"> indices represent specific segment of equities (US Large Cap, US Mid Cap, International) </w:t>
      </w:r>
      <w:r w:rsidRPr="00F6549F">
        <w:rPr>
          <w:lang w:val="en-GB"/>
        </w:rPr>
        <w:t>filtered for several ESG criteria</w:t>
      </w:r>
      <w:r>
        <w:rPr>
          <w:lang w:val="en-GB"/>
        </w:rPr>
        <w:t xml:space="preserve"> like </w:t>
      </w:r>
      <w:r w:rsidRPr="00F6549F">
        <w:rPr>
          <w:lang w:val="en-GB"/>
        </w:rPr>
        <w:t xml:space="preserve">Controversial Activities criteria </w:t>
      </w:r>
      <w:r>
        <w:rPr>
          <w:lang w:val="en-GB"/>
        </w:rPr>
        <w:t>and</w:t>
      </w:r>
      <w:r w:rsidRPr="00F6549F">
        <w:rPr>
          <w:lang w:val="en-GB"/>
        </w:rPr>
        <w:t xml:space="preserve"> the United Nations Global Compact</w:t>
      </w:r>
      <w:r>
        <w:rPr>
          <w:lang w:val="en-GB"/>
        </w:rPr>
        <w:t xml:space="preserve">. </w:t>
      </w:r>
      <w:r w:rsidR="006400E6" w:rsidRPr="006400E6">
        <w:rPr>
          <w:lang w:val="en-GB"/>
        </w:rPr>
        <w:t>Existing rule effectively eliminated the bottom 30% of ESG performers, it created instability when company rankings fluctuated around the 70% cutoff—potentially triggering deletions for companies without meaningful ESG score changes.</w:t>
      </w:r>
      <w:r w:rsidR="006400E6">
        <w:rPr>
          <w:lang w:val="en-GB"/>
        </w:rPr>
        <w:t xml:space="preserve"> The changes </w:t>
      </w:r>
      <w:r w:rsidR="006400E6" w:rsidRPr="006400E6">
        <w:rPr>
          <w:lang w:val="en-GB"/>
        </w:rPr>
        <w:t>addresses this by gradually adjusting weights for companies in the 70–80th percentile range, minimizing disruption from minor ranking shifts while maintaining adherence to the strategies’ core ESG principles.</w:t>
      </w:r>
    </w:p>
    <w:p w14:paraId="2A079CAD" w14:textId="1FD9B5C2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proofErr w:type="spellStart"/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04127B">
        <w:rPr>
          <w:b/>
          <w:bCs/>
          <w:sz w:val="28"/>
          <w:szCs w:val="28"/>
          <w:u w:val="single"/>
          <w:lang w:val="en-GB"/>
        </w:rPr>
        <w:t>s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</w:t>
      </w:r>
      <w:proofErr w:type="spellEnd"/>
      <w:r w:rsidR="00F568D6" w:rsidRPr="0026131F">
        <w:rPr>
          <w:b/>
          <w:bCs/>
          <w:sz w:val="28"/>
          <w:szCs w:val="28"/>
          <w:u w:val="single"/>
          <w:lang w:val="en-GB"/>
        </w:rPr>
        <w:t xml:space="preserve"> the Index Guideline</w:t>
      </w:r>
    </w:p>
    <w:p w14:paraId="7D66871B" w14:textId="50F7757A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6400E6" w:rsidRPr="0004127B">
        <w:rPr>
          <w:lang w:val="en-GB"/>
        </w:rPr>
        <w:t>s</w:t>
      </w:r>
      <w:r w:rsidRPr="0004127B">
        <w:rPr>
          <w:lang w:val="en-GB"/>
        </w:rPr>
        <w:t xml:space="preserve"> are</w:t>
      </w:r>
      <w:r>
        <w:rPr>
          <w:lang w:val="en-GB"/>
        </w:rPr>
        <w:t xml:space="preserve"> proposed in the following poin</w:t>
      </w:r>
      <w:r w:rsidRPr="0004127B">
        <w:rPr>
          <w:lang w:val="en-GB"/>
        </w:rPr>
        <w:t>t</w:t>
      </w:r>
      <w:r w:rsidR="006400E6" w:rsidRPr="0004127B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</w:p>
    <w:p w14:paraId="7231F163" w14:textId="7AACCB42" w:rsidR="006400E6" w:rsidRPr="0004127B" w:rsidRDefault="006400E6" w:rsidP="0026131F">
      <w:pPr>
        <w:spacing w:before="0" w:after="160" w:line="259" w:lineRule="auto"/>
        <w:rPr>
          <w:sz w:val="28"/>
          <w:szCs w:val="28"/>
          <w:lang w:val="en-GB"/>
        </w:rPr>
      </w:pPr>
      <w:r w:rsidRPr="0004127B">
        <w:rPr>
          <w:sz w:val="28"/>
          <w:szCs w:val="28"/>
          <w:lang w:val="en-GB"/>
        </w:rPr>
        <w:t>2.1.</w:t>
      </w:r>
      <w:r w:rsidRPr="0004127B">
        <w:rPr>
          <w:sz w:val="28"/>
          <w:szCs w:val="28"/>
          <w:lang w:val="en-GB"/>
        </w:rPr>
        <w:t xml:space="preserve"> </w:t>
      </w:r>
      <w:r w:rsidRPr="0004127B">
        <w:rPr>
          <w:sz w:val="28"/>
          <w:szCs w:val="28"/>
          <w:lang w:val="en-GB"/>
        </w:rPr>
        <w:t xml:space="preserve"> INDEX UNIVERSE REQUIREMENTS</w:t>
      </w:r>
    </w:p>
    <w:p w14:paraId="5CDD763A" w14:textId="19A5D300" w:rsidR="006400E6" w:rsidRPr="0004127B" w:rsidRDefault="006400E6" w:rsidP="0026131F">
      <w:pPr>
        <w:spacing w:before="0" w:after="160" w:line="259" w:lineRule="auto"/>
        <w:rPr>
          <w:i/>
          <w:iCs/>
          <w:lang w:val="en-GB"/>
        </w:rPr>
      </w:pPr>
      <w:r w:rsidRPr="0004127B">
        <w:rPr>
          <w:i/>
          <w:iCs/>
          <w:lang w:val="en-GB"/>
        </w:rPr>
        <w:t>Addition</w:t>
      </w:r>
    </w:p>
    <w:p w14:paraId="00BF4B51" w14:textId="71E2C11C" w:rsidR="006400E6" w:rsidRPr="006400E6" w:rsidRDefault="006400E6" w:rsidP="006400E6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 xml:space="preserve">Companies ranked between the 70th and 80th percentiles based on their ESG score are also included in the INDEX UNIVERSE </w:t>
      </w:r>
      <w:proofErr w:type="gramStart"/>
      <w:r w:rsidRPr="006400E6">
        <w:rPr>
          <w:lang w:val="en-GB"/>
        </w:rPr>
        <w:t>provided that</w:t>
      </w:r>
      <w:proofErr w:type="gramEnd"/>
      <w:r w:rsidRPr="006400E6">
        <w:rPr>
          <w:lang w:val="en-GB"/>
        </w:rPr>
        <w:t xml:space="preserve"> all of the following conditions are met:</w:t>
      </w:r>
    </w:p>
    <w:p w14:paraId="45B91F58" w14:textId="77777777" w:rsidR="006400E6" w:rsidRPr="006400E6" w:rsidRDefault="006400E6" w:rsidP="0004127B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</w:r>
      <w:proofErr w:type="gramStart"/>
      <w:r w:rsidRPr="006400E6">
        <w:rPr>
          <w:lang w:val="en-GB"/>
        </w:rPr>
        <w:t>As</w:t>
      </w:r>
      <w:proofErr w:type="gramEnd"/>
      <w:r w:rsidRPr="006400E6">
        <w:rPr>
          <w:lang w:val="en-GB"/>
        </w:rPr>
        <w:t xml:space="preserve"> described above, they do not violate the Controversial Activities criteria or the United Nations Global Compact principles </w:t>
      </w:r>
    </w:p>
    <w:p w14:paraId="69F4404B" w14:textId="77777777" w:rsidR="006400E6" w:rsidRPr="006400E6" w:rsidRDefault="006400E6" w:rsidP="0004127B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></w:t>
      </w:r>
      <w:r w:rsidRPr="006400E6">
        <w:rPr>
          <w:lang w:val="en-GB"/>
        </w:rPr>
        <w:tab/>
        <w:t>Note:  Any security ranked in the 70–80th percentile that fails the Controversial Activities or UNGC screening is excluded, regardless of historical rankings.</w:t>
      </w:r>
    </w:p>
    <w:p w14:paraId="5A5373EE" w14:textId="77777777" w:rsidR="006400E6" w:rsidRPr="006400E6" w:rsidRDefault="006400E6" w:rsidP="0004127B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  <w:t>They were ranked within the top 70% (per sector) at least once over the two previous Rebalancing Dates</w:t>
      </w:r>
    </w:p>
    <w:p w14:paraId="1CBB815B" w14:textId="4E9366DF" w:rsidR="006400E6" w:rsidRDefault="006400E6" w:rsidP="0004127B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  <w:t>Their ESG ranking score was not above the 80th percentile on either of those two Rebalancing dates.</w:t>
      </w:r>
    </w:p>
    <w:p w14:paraId="428F4ECD" w14:textId="77777777" w:rsidR="006400E6" w:rsidRDefault="006400E6" w:rsidP="006400E6">
      <w:pPr>
        <w:spacing w:before="0" w:after="160" w:line="259" w:lineRule="auto"/>
        <w:rPr>
          <w:lang w:val="en-GB"/>
        </w:rPr>
      </w:pPr>
    </w:p>
    <w:p w14:paraId="170DF0D1" w14:textId="04E85CFA" w:rsidR="006400E6" w:rsidRPr="0004127B" w:rsidRDefault="006400E6" w:rsidP="006400E6">
      <w:pPr>
        <w:spacing w:before="0" w:after="160" w:line="259" w:lineRule="auto"/>
        <w:rPr>
          <w:sz w:val="28"/>
          <w:szCs w:val="28"/>
          <w:lang w:val="en-GB"/>
        </w:rPr>
      </w:pPr>
      <w:r w:rsidRPr="0004127B">
        <w:rPr>
          <w:sz w:val="28"/>
          <w:szCs w:val="28"/>
          <w:lang w:val="en-GB"/>
        </w:rPr>
        <w:t>2.3.</w:t>
      </w:r>
      <w:r w:rsidRPr="0004127B">
        <w:rPr>
          <w:sz w:val="28"/>
          <w:szCs w:val="28"/>
          <w:lang w:val="en-GB"/>
        </w:rPr>
        <w:tab/>
        <w:t>WEIGHTING OF THE INDEX COMPONENTS</w:t>
      </w:r>
    </w:p>
    <w:p w14:paraId="02FCF0F5" w14:textId="72320906" w:rsidR="006400E6" w:rsidRDefault="006400E6" w:rsidP="006400E6">
      <w:pPr>
        <w:spacing w:before="0" w:after="160" w:line="259" w:lineRule="auto"/>
        <w:rPr>
          <w:lang w:val="en-GB"/>
        </w:rPr>
      </w:pPr>
      <w:r>
        <w:rPr>
          <w:lang w:val="en-GB"/>
        </w:rPr>
        <w:t>Addition</w:t>
      </w:r>
    </w:p>
    <w:p w14:paraId="2EE40DCD" w14:textId="591964DA" w:rsidR="006400E6" w:rsidRPr="006400E6" w:rsidRDefault="006400E6" w:rsidP="006400E6">
      <w:pPr>
        <w:spacing w:before="0" w:after="160" w:line="259" w:lineRule="auto"/>
        <w:rPr>
          <w:lang w:val="en-GB"/>
        </w:rPr>
      </w:pPr>
      <w:r w:rsidRPr="006400E6">
        <w:rPr>
          <w:lang w:val="en-GB"/>
        </w:rPr>
        <w:t>Securities ranked within the 70th–80th percentile range at the current rebalancing, which meet the criteria defined under the “INDEX UNIVERSE REQUIREMENTS,” are subject to the following progressive weight reduction mechanism:</w:t>
      </w:r>
    </w:p>
    <w:p w14:paraId="7DF23D12" w14:textId="77777777" w:rsidR="006400E6" w:rsidRPr="006400E6" w:rsidRDefault="006400E6" w:rsidP="0004127B">
      <w:pPr>
        <w:spacing w:before="0" w:after="160" w:line="259" w:lineRule="auto"/>
        <w:ind w:left="708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  <w:t>First occurrence: The security’s weight is reduced to 50% of its free-float market capitalization weight.</w:t>
      </w:r>
    </w:p>
    <w:p w14:paraId="511DE64E" w14:textId="77777777" w:rsidR="006400E6" w:rsidRPr="006400E6" w:rsidRDefault="006400E6" w:rsidP="0004127B">
      <w:pPr>
        <w:spacing w:before="0" w:after="160" w:line="259" w:lineRule="auto"/>
        <w:ind w:left="708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  <w:t>Second consecutive occurrence: If the security remains within the 70th–80th percentile range at the next Selection Day, its weight is further reduced to 25%.</w:t>
      </w:r>
    </w:p>
    <w:p w14:paraId="5A1AC69D" w14:textId="03192777" w:rsidR="006400E6" w:rsidRDefault="006400E6" w:rsidP="0004127B">
      <w:pPr>
        <w:spacing w:before="0" w:after="160" w:line="259" w:lineRule="auto"/>
        <w:ind w:left="708"/>
        <w:rPr>
          <w:lang w:val="en-GB"/>
        </w:rPr>
      </w:pPr>
      <w:r w:rsidRPr="006400E6">
        <w:rPr>
          <w:lang w:val="en-GB"/>
        </w:rPr>
        <w:t>o</w:t>
      </w:r>
      <w:r w:rsidRPr="006400E6">
        <w:rPr>
          <w:lang w:val="en-GB"/>
        </w:rPr>
        <w:tab/>
        <w:t>Third consecutive occurrence: If the security continues to fall within this, the security is fully removed from the index.</w:t>
      </w:r>
    </w:p>
    <w:p w14:paraId="64F6845C" w14:textId="77777777" w:rsidR="0004127B" w:rsidRDefault="0004127B" w:rsidP="0004127B">
      <w:pPr>
        <w:spacing w:before="0" w:after="160" w:line="259" w:lineRule="auto"/>
        <w:ind w:left="708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5A1CE8B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6400E6" w:rsidRPr="006400E6">
        <w:rPr>
          <w:lang w:val="en-US"/>
        </w:rPr>
        <w:t>NYLI CANDRIAM U.S. LARGE CAP/</w:t>
      </w:r>
      <w:proofErr w:type="gramStart"/>
      <w:r w:rsidR="006400E6" w:rsidRPr="006400E6">
        <w:rPr>
          <w:lang w:val="en-US"/>
        </w:rPr>
        <w:t>U.S</w:t>
      </w:r>
      <w:proofErr w:type="gramEnd"/>
      <w:r w:rsidR="006400E6" w:rsidRPr="006400E6">
        <w:rPr>
          <w:lang w:val="en-US"/>
        </w:rPr>
        <w:t xml:space="preserve"> MID CAP/INTERNATIONAL EQUITY INDICES</w:t>
      </w:r>
      <w:r w:rsidR="006400E6" w:rsidRPr="006400E6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3E7136A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="0004127B" w:rsidRPr="00C04273">
        <w:rPr>
          <w:lang w:val="en-US"/>
        </w:rPr>
        <w:t xml:space="preserve">until </w:t>
      </w:r>
      <w:r w:rsidR="0004127B">
        <w:rPr>
          <w:lang w:val="en-US"/>
        </w:rPr>
        <w:t>2025</w:t>
      </w:r>
      <w:r w:rsidR="006400E6">
        <w:rPr>
          <w:lang w:val="en-US"/>
        </w:rPr>
        <w:t>-10-17</w:t>
      </w:r>
    </w:p>
    <w:p w14:paraId="741A56A5" w14:textId="107CF7AA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6400E6">
        <w:t xml:space="preserve"> 2025-11-03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7F03CC9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</w:t>
      </w:r>
      <w:r w:rsidR="00B86DE7">
        <w:rPr>
          <w:lang w:val="en-US"/>
        </w:rPr>
        <w:t>n</w:t>
      </w:r>
      <w:r w:rsidR="00B86DE7">
        <w:rPr>
          <w:b/>
          <w:bCs/>
          <w:lang w:val="en-US"/>
        </w:rPr>
        <w:t xml:space="preserve"> </w:t>
      </w:r>
      <w:r w:rsidR="00B86DE7" w:rsidRPr="006400E6">
        <w:rPr>
          <w:lang w:val="en-US"/>
        </w:rPr>
        <w:t>NYLI CANDRIAM U.S. LARGE CAP/U.S MID CAP/INTERNATIONAL EQUITY INDICES</w:t>
      </w:r>
      <w:r w:rsidR="0026131F">
        <w:rPr>
          <w:lang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lastRenderedPageBreak/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Ge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mP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DAYVGe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68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68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4EC3AF-CAC5-4213-858A-CE58F45BE7A3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E7087739-38A3-49FF-98BD-96B2B731630F}"/>
    <w:embedBold r:id="rId3" w:fontKey="{A0DE5E3E-4BDD-4ECF-A372-3F9E30FCC575}"/>
    <w:embedItalic r:id="rId4" w:fontKey="{42F2A3AF-9C9C-457E-8EE4-A79C719FF5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4CCD56B-846B-41C1-BD71-9D8EE5FE070F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7A04E9FE-13C9-4D37-8CE7-896FA52DF4A0}"/>
    <w:embedBold r:id="rId7" w:fontKey="{1791AE0F-8DD2-4235-AF67-050F0B0E67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759E879-082D-41CC-81B9-EB79330EA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18441E6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4763">
          <w:rPr>
            <w:lang w:val="en-US"/>
          </w:rPr>
          <w:t xml:space="preserve">Market Consultation NYLI </w:t>
        </w:r>
        <w:proofErr w:type="spellStart"/>
        <w:r w:rsidR="00F74763">
          <w:rPr>
            <w:lang w:val="en-US"/>
          </w:rPr>
          <w:t>Candriam</w:t>
        </w:r>
        <w:proofErr w:type="spellEnd"/>
        <w:r w:rsidR="00F74763">
          <w:rPr>
            <w:lang w:val="en-US"/>
          </w:rPr>
          <w:t xml:space="preserve"> U.S. Large Cap/</w:t>
        </w:r>
        <w:proofErr w:type="gramStart"/>
        <w:r w:rsidR="00F74763">
          <w:rPr>
            <w:lang w:val="en-US"/>
          </w:rPr>
          <w:t>U.S</w:t>
        </w:r>
        <w:proofErr w:type="gramEnd"/>
        <w:r w:rsidR="00F74763">
          <w:rPr>
            <w:lang w:val="en-US"/>
          </w:rPr>
          <w:t xml:space="preserve"> Mid CAP/International equity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5.9pt;height:19.9pt" o:bullet="t">
        <v:imagedata r:id="rId1" o:title="S_Icons-Haken_02"/>
      </v:shape>
    </w:pict>
  </w:numPicBullet>
  <w:numPicBullet w:numPicBulletId="1">
    <w:pict>
      <v:shape id="_x0000_i1059" type="#_x0000_t75" style="width:19.9pt;height:19.9pt" o:bullet="t">
        <v:imagedata r:id="rId2" o:title="S_Icons-Pfeil_02"/>
      </v:shape>
    </w:pict>
  </w:numPicBullet>
  <w:numPicBullet w:numPicBulletId="2">
    <w:pict>
      <v:shape id="_x0000_i1060" type="#_x0000_t75" style="width:15.35pt;height:15.85pt" o:bullet="t">
        <v:imagedata r:id="rId3" o:title="Bullet_2_Indices_Small"/>
      </v:shape>
    </w:pict>
  </w:numPicBullet>
  <w:numPicBullet w:numPicBulletId="3">
    <w:pict>
      <v:shape id="_x0000_i106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695460">
    <w:abstractNumId w:val="5"/>
  </w:num>
  <w:num w:numId="2" w16cid:durableId="504593463">
    <w:abstractNumId w:val="6"/>
  </w:num>
  <w:num w:numId="3" w16cid:durableId="789126525">
    <w:abstractNumId w:val="15"/>
  </w:num>
  <w:num w:numId="4" w16cid:durableId="597177772">
    <w:abstractNumId w:val="19"/>
  </w:num>
  <w:num w:numId="5" w16cid:durableId="1732851401">
    <w:abstractNumId w:val="14"/>
  </w:num>
  <w:num w:numId="6" w16cid:durableId="1239559456">
    <w:abstractNumId w:val="7"/>
  </w:num>
  <w:num w:numId="7" w16cid:durableId="1375882743">
    <w:abstractNumId w:val="18"/>
  </w:num>
  <w:num w:numId="8" w16cid:durableId="1030649894">
    <w:abstractNumId w:val="3"/>
  </w:num>
  <w:num w:numId="9" w16cid:durableId="1031607374">
    <w:abstractNumId w:val="12"/>
  </w:num>
  <w:num w:numId="10" w16cid:durableId="61100422">
    <w:abstractNumId w:val="11"/>
  </w:num>
  <w:num w:numId="11" w16cid:durableId="1278760569">
    <w:abstractNumId w:val="2"/>
  </w:num>
  <w:num w:numId="12" w16cid:durableId="1997610040">
    <w:abstractNumId w:val="1"/>
  </w:num>
  <w:num w:numId="13" w16cid:durableId="1284269451">
    <w:abstractNumId w:val="13"/>
  </w:num>
  <w:num w:numId="14" w16cid:durableId="1755665530">
    <w:abstractNumId w:val="9"/>
  </w:num>
  <w:num w:numId="15" w16cid:durableId="1654947509">
    <w:abstractNumId w:val="4"/>
  </w:num>
  <w:num w:numId="16" w16cid:durableId="997809487">
    <w:abstractNumId w:val="10"/>
  </w:num>
  <w:num w:numId="17" w16cid:durableId="995181276">
    <w:abstractNumId w:val="20"/>
  </w:num>
  <w:num w:numId="18" w16cid:durableId="1700541909">
    <w:abstractNumId w:val="8"/>
  </w:num>
  <w:num w:numId="19" w16cid:durableId="1596160629">
    <w:abstractNumId w:val="16"/>
  </w:num>
  <w:num w:numId="20" w16cid:durableId="99764817">
    <w:abstractNumId w:val="17"/>
  </w:num>
  <w:num w:numId="21" w16cid:durableId="1948153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127B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400E6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86DE7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2842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549F"/>
    <w:rsid w:val="00F67BDD"/>
    <w:rsid w:val="00F74763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F74763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32842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2025-10-03T00:00:00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681</Words>
  <Characters>3885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NYLI Candriam U.S. Large Cap/U.S Mid CAP/International equity indices</dc:title>
  <dc:subject>Calculation Documents &amp; Methodologies</dc:subject>
  <dc:creator>Solactive AG</dc:creator>
  <cp:keywords/>
  <dc:description/>
  <cp:lastModifiedBy>Hasija, Tarun</cp:lastModifiedBy>
  <cp:revision>17</cp:revision>
  <cp:lastPrinted>2018-12-10T16:54:00Z</cp:lastPrinted>
  <dcterms:created xsi:type="dcterms:W3CDTF">2021-11-16T06:38:00Z</dcterms:created>
  <dcterms:modified xsi:type="dcterms:W3CDTF">2025-10-02T20:43:00Z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