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2D07D035" w:rsidR="00A65C78" w:rsidRDefault="000464B7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729920" behindDoc="1" locked="0" layoutInCell="1" allowOverlap="1" wp14:anchorId="1FCB3ACD" wp14:editId="555C07D5">
                    <wp:simplePos x="0" y="0"/>
                    <wp:positionH relativeFrom="page">
                      <wp:posOffset>-3663950</wp:posOffset>
                    </wp:positionH>
                    <wp:positionV relativeFrom="margin">
                      <wp:posOffset>-1049020</wp:posOffset>
                    </wp:positionV>
                    <wp:extent cx="7710985" cy="10679430"/>
                    <wp:effectExtent l="0" t="0" r="4445" b="7620"/>
                    <wp:wrapNone/>
                    <wp:docPr id="1076112595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2393A4E" id="Rechteck 10" o:spid="_x0000_s1026" style="position:absolute;margin-left:-288.5pt;margin-top:-82.6pt;width:607.15pt;height:840.9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" fillcolor="#529cfc" stroked="f" strokeweight="1pt">
                    <w10:wrap anchorx="page" anchory="margin"/>
                  </v:rect>
                </w:pict>
              </mc:Fallback>
            </mc:AlternateContent>
          </w:r>
          <w:r w:rsidR="00B915B6"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18E7F27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p w14:paraId="09D0275B" w14:textId="5A94615C" w:rsidR="000464B7" w:rsidRDefault="00000000" w:rsidP="00CE534F">
          <w:pPr>
            <w:pStyle w:val="Title"/>
            <w:rPr>
              <w:color w:val="FFFFFF" w:themeColor="background1"/>
              <w:lang w:val="en-US"/>
            </w:rPr>
          </w:pPr>
          <w:sdt>
            <w:sdtPr>
              <w:rPr>
                <w:rFonts w:ascii="Calibri" w:eastAsia="Calibri" w:hAnsi="Calibri" w:cs="Calibri"/>
                <w:caps w:val="0"/>
                <w:color w:val="FFFFFF"/>
                <w:spacing w:val="0"/>
                <w:w w:val="97"/>
                <w:kern w:val="2"/>
                <w:szCs w:val="24"/>
                <w:lang w:val="en-CA" w:eastAsia="en-CA"/>
                <w14:ligatures w14:val="standardContextual"/>
              </w:rPr>
              <w:alias w:val="Title"/>
              <w:tag w:val=""/>
              <w:id w:val="1735040861"/>
              <w:placeholder>
                <w:docPart w:val="9BC46DD8613D4A3B8F388BB14D36BA1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086252">
                <w:rPr>
                  <w:rFonts w:ascii="Calibri" w:eastAsia="Calibri" w:hAnsi="Calibri" w:cs="Calibri"/>
                  <w:caps w:val="0"/>
                  <w:color w:val="FFFFFF"/>
                  <w:spacing w:val="0"/>
                  <w:w w:val="97"/>
                  <w:kern w:val="2"/>
                  <w:szCs w:val="24"/>
                  <w:lang w:val="en-CA" w:eastAsia="en-CA"/>
                  <w14:ligatures w14:val="standardContextual"/>
                </w:rPr>
                <w:t>MARKET CONSULTATION METHODOLOGY AMENDMENT:</w:t>
              </w:r>
            </w:sdtContent>
          </w:sdt>
        </w:p>
        <w:p w14:paraId="350A649F" w14:textId="10D5EC74" w:rsidR="000464B7" w:rsidRPr="000464B7" w:rsidRDefault="000464B7" w:rsidP="000464B7">
          <w:pPr>
            <w:pStyle w:val="Title"/>
            <w:rPr>
              <w:lang w:val="en-US"/>
            </w:rPr>
          </w:pPr>
          <w:r w:rsidRPr="00CE534F">
            <w:rPr>
              <w:rFonts w:ascii="Calibri" w:eastAsia="Calibri" w:hAnsi="Calibri" w:cs="Calibri"/>
              <w:caps w:val="0"/>
              <w:noProof/>
              <w:color w:val="FFFFFF"/>
              <w:spacing w:val="0"/>
              <w:w w:val="97"/>
              <w:kern w:val="2"/>
              <w:szCs w:val="24"/>
              <w:lang w:val="en-CA" w:eastAsia="en-CA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731968" behindDoc="1" locked="0" layoutInCell="1" allowOverlap="1" wp14:anchorId="533318B6" wp14:editId="6A47D448">
                    <wp:simplePos x="0" y="0"/>
                    <wp:positionH relativeFrom="page">
                      <wp:posOffset>720090</wp:posOffset>
                    </wp:positionH>
                    <wp:positionV relativeFrom="page">
                      <wp:posOffset>4598670</wp:posOffset>
                    </wp:positionV>
                    <wp:extent cx="7710985" cy="10679430"/>
                    <wp:effectExtent l="0" t="0" r="4445" b="7620"/>
                    <wp:wrapNone/>
                    <wp:docPr id="61665449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E36AE29" id="Rechteck 10" o:spid="_x0000_s1026" style="position:absolute;margin-left:56.7pt;margin-top:362.1pt;width:607.15pt;height:840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CE534F" w:rsidRPr="00CE534F">
            <w:rPr>
              <w:rFonts w:ascii="Calibri" w:eastAsia="Calibri" w:hAnsi="Calibri" w:cs="Calibri"/>
              <w:caps w:val="0"/>
              <w:color w:val="FFFFFF"/>
              <w:spacing w:val="0"/>
              <w:w w:val="97"/>
              <w:kern w:val="2"/>
              <w:szCs w:val="24"/>
              <w:lang w:val="en-CA" w:eastAsia="en-CA"/>
              <w14:ligatures w14:val="standardContextual"/>
            </w:rPr>
            <w:t xml:space="preserve">TREATMENT TO </w:t>
          </w:r>
          <w:r w:rsidR="00A0792F" w:rsidRPr="00CE534F">
            <w:rPr>
              <w:rFonts w:ascii="Calibri" w:eastAsia="Calibri" w:hAnsi="Calibri" w:cs="Calibri"/>
              <w:caps w:val="0"/>
              <w:color w:val="FFFFFF"/>
              <w:spacing w:val="0"/>
              <w:w w:val="97"/>
              <w:kern w:val="2"/>
              <w:szCs w:val="24"/>
              <w:lang w:val="en-CA" w:eastAsia="en-CA"/>
              <w14:ligatures w14:val="standardContextual"/>
            </w:rPr>
            <w:t xml:space="preserve">ELIGIBILITY CRITERIA AND ISSUER CAPPING METHODOLOGY </w:t>
          </w:r>
          <w:r w:rsidR="00CE534F" w:rsidRPr="00CE534F">
            <w:rPr>
              <w:rFonts w:ascii="Calibri" w:eastAsia="Calibri" w:hAnsi="Calibri" w:cs="Calibri"/>
              <w:caps w:val="0"/>
              <w:color w:val="FFFFFF"/>
              <w:spacing w:val="0"/>
              <w:w w:val="97"/>
              <w:kern w:val="2"/>
              <w:szCs w:val="24"/>
              <w:lang w:val="en-CA" w:eastAsia="en-CA"/>
              <w14:ligatures w14:val="standardContextual"/>
            </w:rPr>
            <w:t xml:space="preserve">OF THE SOLACTIVE HILTON CAPITAL BDC CORPORATE BOND TR INDEX </w:t>
          </w:r>
        </w:p>
        <w:p w14:paraId="42D8DB42" w14:textId="77777777" w:rsidR="003C16C2" w:rsidRPr="000464B7" w:rsidRDefault="003C16C2">
          <w:pPr>
            <w:pStyle w:val="NoSpacing"/>
            <w:spacing w:before="480"/>
            <w:jc w:val="center"/>
            <w:rPr>
              <w:color w:val="2784FC" w:themeColor="accent1"/>
              <w:lang w:val="en-CA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E0E6C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B93B61A" w:rsidR="00110CA0" w:rsidRPr="00D902A1" w:rsidRDefault="0000000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9-2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 w:rsidR="00CE534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25</w:t>
                                    </w:r>
                                    <w:r w:rsidR="0083427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CE534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Septembe</w:t>
                                    </w:r>
                                    <w:r w:rsidR="0083427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r 202</w:t>
                                    </w:r>
                                    <w:r w:rsidR="00CE534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4B93B61A" w:rsidR="00110CA0" w:rsidRPr="00D902A1" w:rsidRDefault="0000000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9-2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CE534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25</w:t>
                              </w:r>
                              <w:r w:rsidR="0083427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CE534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Septembe</w:t>
                              </w:r>
                              <w:r w:rsidR="0083427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r 202</w:t>
                              </w:r>
                              <w:r w:rsidR="00CE534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1CF2D345" w:rsidR="00BA7E9B" w:rsidRPr="00CE534F" w:rsidRDefault="00BA7E9B" w:rsidP="005055F5">
      <w:pPr>
        <w:jc w:val="left"/>
        <w:rPr>
          <w:sz w:val="28"/>
          <w:szCs w:val="28"/>
          <w:u w:val="single"/>
          <w:lang w:val="en-CA"/>
        </w:rPr>
      </w:pPr>
      <w:bookmarkStart w:id="0" w:name="_Toc512460733"/>
      <w:r>
        <w:rPr>
          <w:sz w:val="28"/>
          <w:szCs w:val="28"/>
          <w:u w:val="single"/>
        </w:rPr>
        <w:lastRenderedPageBreak/>
        <w:t>Overview</w:t>
      </w:r>
    </w:p>
    <w:p w14:paraId="7E924489" w14:textId="77777777" w:rsidR="002457CC" w:rsidRPr="000464B7" w:rsidRDefault="002457CC" w:rsidP="00BA7E9B">
      <w:pPr>
        <w:rPr>
          <w:lang w:val="en-CA"/>
        </w:rPr>
      </w:pPr>
      <w:proofErr w:type="spellStart"/>
      <w:r w:rsidRPr="000464B7">
        <w:rPr>
          <w:lang w:val="en-CA"/>
        </w:rPr>
        <w:t>Solactive</w:t>
      </w:r>
      <w:proofErr w:type="spellEnd"/>
      <w:r w:rsidRPr="000464B7">
        <w:rPr>
          <w:lang w:val="en-CA"/>
        </w:rPr>
        <w:t xml:space="preserve"> AG is conducting this market consultation regarding a proposed amendment to the methodology of the below index:</w:t>
      </w:r>
      <w:r w:rsidRPr="000464B7">
        <w:rPr>
          <w:lang w:val="en-CA"/>
        </w:rPr>
        <w:br/>
      </w:r>
    </w:p>
    <w:p w14:paraId="35D3BAF3" w14:textId="77777777" w:rsidR="002457CC" w:rsidRPr="000464B7" w:rsidRDefault="002457CC" w:rsidP="00BA7E9B">
      <w:pPr>
        <w:rPr>
          <w:lang w:val="en-CA"/>
        </w:rPr>
      </w:pPr>
      <w:r w:rsidRPr="000464B7">
        <w:rPr>
          <w:lang w:val="en-CA"/>
        </w:rPr>
        <w:t>Solactive Hilton Capital BDC Corporate Bond TR Index [.SOLHBDCC, DE000SL0FH00]</w:t>
      </w:r>
    </w:p>
    <w:p w14:paraId="10D9CABF" w14:textId="77777777" w:rsidR="00086252" w:rsidRPr="00086252" w:rsidRDefault="002457CC" w:rsidP="00086252">
      <w:pPr>
        <w:rPr>
          <w:lang w:val="en-CA"/>
        </w:rPr>
      </w:pPr>
      <w:r w:rsidRPr="000464B7">
        <w:rPr>
          <w:lang w:val="en-CA"/>
        </w:rPr>
        <w:br/>
      </w:r>
      <w:r w:rsidR="00086252" w:rsidRPr="00086252">
        <w:rPr>
          <w:lang w:val="en-CA"/>
        </w:rPr>
        <w:t>This proposal follows the Index Committee’s review of the eligibility criteria and weighting methodology. The review considered standard market practice and alternative approaches.</w:t>
      </w:r>
    </w:p>
    <w:p w14:paraId="0E43C7E6" w14:textId="77777777" w:rsidR="00086252" w:rsidRPr="00086252" w:rsidRDefault="00086252" w:rsidP="00086252">
      <w:pPr>
        <w:rPr>
          <w:lang w:val="en-CA"/>
        </w:rPr>
      </w:pPr>
      <w:r w:rsidRPr="00086252">
        <w:rPr>
          <w:lang w:val="en-CA"/>
        </w:rPr>
        <w:t>For eligibility, frequent market practice is not to specify detailed criteria, but only to require that the issuer has a BDC “structure, as specified in SEC filings” or similar. The proposed clarification ensures that issuers are not unintentionally excluded when EDGAR filings show active BDC status.</w:t>
      </w:r>
    </w:p>
    <w:p w14:paraId="5958731B" w14:textId="77777777" w:rsidR="00086252" w:rsidRPr="00086252" w:rsidRDefault="00086252" w:rsidP="00086252">
      <w:pPr>
        <w:rPr>
          <w:lang w:val="en-CA"/>
        </w:rPr>
      </w:pPr>
      <w:r w:rsidRPr="00086252">
        <w:rPr>
          <w:lang w:val="en-CA"/>
        </w:rPr>
        <w:t>For weighting, standard market practice is to align with the U.S. RIC rule for funds, which states that the sum of all securities held in issuers representing 5% or more of a fund’s assets cannot exceed 50% of the fund’s total assets. Alternatives such as capping all issuers below 5%, or scaling down all issuers at or above 5%, were considered but discarded. The chosen tiered capping approach is simple, transparent, and still allows for a staggered size distribution among the largest issuers.</w:t>
      </w:r>
    </w:p>
    <w:p w14:paraId="1A764105" w14:textId="3144C79F" w:rsidR="00BA7E9B" w:rsidRPr="00086252" w:rsidRDefault="00BA7E9B" w:rsidP="00086252">
      <w:pPr>
        <w:rPr>
          <w:sz w:val="28"/>
          <w:szCs w:val="28"/>
          <w:u w:val="single"/>
          <w:lang w:val="en-CA"/>
        </w:rPr>
      </w:pPr>
    </w:p>
    <w:p w14:paraId="45154AF2" w14:textId="6108FE46" w:rsidR="005055F5" w:rsidRPr="00BA7E9B" w:rsidRDefault="00BA7E9B" w:rsidP="005055F5">
      <w:pPr>
        <w:jc w:val="left"/>
        <w:rPr>
          <w:sz w:val="22"/>
          <w:szCs w:val="22"/>
        </w:rPr>
      </w:pPr>
      <w:r>
        <w:rPr>
          <w:sz w:val="28"/>
          <w:szCs w:val="28"/>
          <w:u w:val="single"/>
        </w:rPr>
        <w:t xml:space="preserve">Proposed </w:t>
      </w:r>
      <w:r w:rsidR="005055F5">
        <w:rPr>
          <w:sz w:val="28"/>
          <w:szCs w:val="28"/>
          <w:u w:val="single"/>
          <w:lang w:val="en-GB"/>
        </w:rPr>
        <w:t xml:space="preserve">Change to </w:t>
      </w:r>
      <w:r w:rsidR="00C1772D">
        <w:rPr>
          <w:sz w:val="28"/>
          <w:szCs w:val="28"/>
          <w:u w:val="single"/>
          <w:lang w:val="en-GB"/>
        </w:rPr>
        <w:t xml:space="preserve">the </w:t>
      </w:r>
      <w:r w:rsidR="00CE534F">
        <w:rPr>
          <w:sz w:val="28"/>
          <w:szCs w:val="28"/>
          <w:u w:val="single"/>
          <w:lang w:val="en-GB"/>
        </w:rPr>
        <w:t>Index Methodology</w:t>
      </w:r>
    </w:p>
    <w:p w14:paraId="252A5BA3" w14:textId="77777777" w:rsidR="002457CC" w:rsidRPr="002457CC" w:rsidRDefault="002457CC" w:rsidP="002457CC">
      <w:pPr>
        <w:rPr>
          <w:lang w:val="en-CA"/>
        </w:rPr>
      </w:pPr>
      <w:r w:rsidRPr="002457CC">
        <w:rPr>
          <w:lang w:val="en-CA"/>
        </w:rPr>
        <w:t>The Index Committee has reviewed and approved the following amendments to the index methodology:</w:t>
      </w:r>
    </w:p>
    <w:p w14:paraId="11B3A47A" w14:textId="77777777" w:rsidR="00086252" w:rsidRDefault="00086252" w:rsidP="00086252">
      <w:pPr>
        <w:rPr>
          <w:rFonts w:eastAsiaTheme="minorEastAsia"/>
          <w:lang w:val="en-CA" w:eastAsia="zh-CN"/>
        </w:rPr>
      </w:pPr>
    </w:p>
    <w:p w14:paraId="1E984C9E" w14:textId="5B9DB21D" w:rsidR="00652100" w:rsidRDefault="00652100" w:rsidP="00086252">
      <w:pPr>
        <w:rPr>
          <w:rFonts w:eastAsiaTheme="minorEastAsia"/>
          <w:lang w:val="en-CA" w:eastAsia="zh-CN"/>
        </w:rPr>
      </w:pPr>
      <w:r w:rsidRPr="00652100">
        <w:rPr>
          <w:rFonts w:eastAsiaTheme="minorEastAsia"/>
          <w:lang w:val="en-CA" w:eastAsia="zh-CN"/>
        </w:rPr>
        <w:t>Removal of the existing selection rule:</w:t>
      </w:r>
    </w:p>
    <w:p w14:paraId="26D8E25C" w14:textId="6970A9C7" w:rsidR="00652100" w:rsidRPr="00652100" w:rsidRDefault="00652100" w:rsidP="00086252">
      <w:pPr>
        <w:rPr>
          <w:rFonts w:eastAsiaTheme="minorEastAsia" w:hint="eastAsia"/>
          <w:lang w:val="en-CA" w:eastAsia="zh-CN"/>
        </w:rPr>
      </w:pPr>
      <w:r>
        <w:rPr>
          <w:lang w:val="en-US" w:eastAsia="en-US"/>
        </w:rPr>
        <w:t xml:space="preserve">The issuer must be listed on the latest “Business Development Company Report” published yearly by the U.S. Securities and Exchange Commission </w:t>
      </w:r>
      <w:hyperlink r:id="rId11" w:history="1">
        <w:r w:rsidRPr="00D02207">
          <w:rPr>
            <w:rStyle w:val="Hyperlink"/>
            <w:lang w:val="en-US" w:eastAsia="en-US"/>
          </w:rPr>
          <w:t>SEC.gov | Business Development Company Report</w:t>
        </w:r>
      </w:hyperlink>
    </w:p>
    <w:p w14:paraId="2ACFA4B5" w14:textId="77777777" w:rsidR="00086252" w:rsidRDefault="00086252" w:rsidP="00086252">
      <w:pPr>
        <w:rPr>
          <w:lang w:val="en-CA"/>
        </w:rPr>
      </w:pPr>
    </w:p>
    <w:p w14:paraId="0A8AE1EC" w14:textId="77777777" w:rsidR="00652100" w:rsidRPr="00652100" w:rsidRDefault="00652100" w:rsidP="00086252">
      <w:pPr>
        <w:rPr>
          <w:rFonts w:eastAsiaTheme="minorEastAsia"/>
          <w:lang w:val="en-CA" w:eastAsia="zh-CN"/>
        </w:rPr>
      </w:pPr>
      <w:r w:rsidRPr="00652100">
        <w:rPr>
          <w:lang w:val="en-CA"/>
        </w:rPr>
        <w:t xml:space="preserve">Addition of the new selection rule: </w:t>
      </w:r>
    </w:p>
    <w:p w14:paraId="60D23FED" w14:textId="77777777" w:rsidR="00652100" w:rsidRPr="00652100" w:rsidRDefault="00652100" w:rsidP="00652100">
      <w:pPr>
        <w:rPr>
          <w:lang w:val="en-US" w:eastAsia="en-US"/>
        </w:rPr>
      </w:pPr>
      <w:r w:rsidRPr="00652100">
        <w:rPr>
          <w:lang w:val="en-US" w:eastAsia="en-US"/>
        </w:rPr>
        <w:t xml:space="preserve">The issuer must be listed on the latest “Business Development Company Report” published yearly by the U.S. Securities and Exchange Commission </w:t>
      </w:r>
      <w:hyperlink r:id="rId12" w:history="1">
        <w:r w:rsidRPr="00652100">
          <w:rPr>
            <w:rStyle w:val="Hyperlink"/>
            <w:lang w:val="en-US" w:eastAsia="en-US"/>
          </w:rPr>
          <w:t>SEC.gov | Business Development Company Report</w:t>
        </w:r>
      </w:hyperlink>
      <w:r w:rsidRPr="00652100">
        <w:rPr>
          <w:lang w:val="en-US" w:eastAsia="en-US"/>
        </w:rPr>
        <w:t xml:space="preserve">. Primary source is </w:t>
      </w:r>
      <w:proofErr w:type="gramStart"/>
      <w:r w:rsidRPr="00652100">
        <w:rPr>
          <w:lang w:val="en-US" w:eastAsia="en-US"/>
        </w:rPr>
        <w:t>that</w:t>
      </w:r>
      <w:proofErr w:type="gramEnd"/>
      <w:r w:rsidRPr="00652100">
        <w:rPr>
          <w:lang w:val="en-US" w:eastAsia="en-US"/>
        </w:rPr>
        <w:t xml:space="preserve"> SEC Business Development Company Report. To avoid undesired deletions caused by omissions in that report, an issuer absent from the report shall nevertheless be included if (</w:t>
      </w:r>
      <w:proofErr w:type="spellStart"/>
      <w:r w:rsidRPr="00652100">
        <w:rPr>
          <w:lang w:val="en-US" w:eastAsia="en-US"/>
        </w:rPr>
        <w:t>i</w:t>
      </w:r>
      <w:proofErr w:type="spellEnd"/>
      <w:r w:rsidRPr="00652100">
        <w:rPr>
          <w:lang w:val="en-US" w:eastAsia="en-US"/>
        </w:rPr>
        <w:t>) a recent EDGAR filing header shows an active Investment Company Act Commission File Number ‘814-xxxxx’ and/or a filed Form N-54A, and (ii) no Form N-54C withdrawal is on EDGAR. In merger situations, the successor issuer is eligible where EDGAR shows assumption of the predecessor’s obligations.</w:t>
      </w:r>
    </w:p>
    <w:p w14:paraId="0A8FDCD2" w14:textId="77777777" w:rsidR="00086252" w:rsidRPr="00652100" w:rsidRDefault="00086252" w:rsidP="00086252">
      <w:pPr>
        <w:rPr>
          <w:rFonts w:eastAsiaTheme="minorEastAsia" w:hint="eastAsia"/>
          <w:lang w:val="en-CA" w:eastAsia="zh-CN"/>
        </w:rPr>
      </w:pPr>
    </w:p>
    <w:p w14:paraId="1F41DAF7" w14:textId="09B25C07" w:rsidR="00652100" w:rsidRDefault="00652100" w:rsidP="00652100">
      <w:pPr>
        <w:rPr>
          <w:rFonts w:eastAsiaTheme="minorEastAsia"/>
          <w:lang w:val="en-CA" w:eastAsia="zh-CN"/>
        </w:rPr>
      </w:pPr>
      <w:r w:rsidRPr="00652100">
        <w:rPr>
          <w:rFonts w:eastAsiaTheme="minorEastAsia"/>
          <w:lang w:val="en-CA" w:eastAsia="zh-CN"/>
        </w:rPr>
        <w:t xml:space="preserve">Removal of the existing </w:t>
      </w:r>
      <w:r>
        <w:rPr>
          <w:rFonts w:eastAsiaTheme="minorEastAsia" w:hint="eastAsia"/>
          <w:lang w:val="en-CA" w:eastAsia="zh-CN"/>
        </w:rPr>
        <w:t xml:space="preserve">weighting </w:t>
      </w:r>
      <w:r w:rsidRPr="00652100">
        <w:rPr>
          <w:rFonts w:eastAsiaTheme="minorEastAsia"/>
          <w:lang w:val="en-CA" w:eastAsia="zh-CN"/>
        </w:rPr>
        <w:t>rule:</w:t>
      </w:r>
    </w:p>
    <w:p w14:paraId="664411B1" w14:textId="77777777" w:rsidR="00652100" w:rsidRDefault="00652100" w:rsidP="00652100">
      <w:pPr>
        <w:rPr>
          <w:rFonts w:eastAsiaTheme="minorEastAsia"/>
          <w:lang w:val="en-CA" w:eastAsia="zh-CN"/>
        </w:rPr>
      </w:pPr>
      <w:r>
        <w:rPr>
          <w:lang w:val="en-US" w:eastAsia="en-US"/>
        </w:rPr>
        <w:t xml:space="preserve">Additionally, the weighting of the </w:t>
      </w:r>
      <w:r w:rsidRPr="00D802AB">
        <w:rPr>
          <w:smallCaps/>
          <w:lang w:val="en-US" w:eastAsia="en-US"/>
        </w:rPr>
        <w:t>Index Component</w:t>
      </w:r>
      <w:r w:rsidRPr="00EA6DB6">
        <w:rPr>
          <w:smallCaps/>
          <w:lang w:val="en-US" w:eastAsia="en-US"/>
        </w:rPr>
        <w:t xml:space="preserve">s </w:t>
      </w:r>
      <w:r>
        <w:rPr>
          <w:lang w:val="en-US" w:eastAsia="en-US"/>
        </w:rPr>
        <w:t xml:space="preserve">follows a 10% Issuer </w:t>
      </w:r>
      <w:proofErr w:type="gramStart"/>
      <w:r>
        <w:rPr>
          <w:lang w:val="en-US" w:eastAsia="en-US"/>
        </w:rPr>
        <w:t>capping.</w:t>
      </w:r>
      <w:r w:rsidR="002457CC" w:rsidRPr="002457CC">
        <w:rPr>
          <w:lang w:val="en-CA"/>
        </w:rPr>
        <w:t>The</w:t>
      </w:r>
      <w:proofErr w:type="gramEnd"/>
      <w:r w:rsidR="002457CC" w:rsidRPr="002457CC">
        <w:rPr>
          <w:lang w:val="en-CA"/>
        </w:rPr>
        <w:t xml:space="preserve"> amendments will take effect </w:t>
      </w:r>
      <w:proofErr w:type="gramStart"/>
      <w:r w:rsidR="002457CC" w:rsidRPr="002457CC">
        <w:rPr>
          <w:lang w:val="en-CA"/>
        </w:rPr>
        <w:t>at</w:t>
      </w:r>
      <w:proofErr w:type="gramEnd"/>
      <w:r w:rsidR="002457CC" w:rsidRPr="002457CC">
        <w:rPr>
          <w:lang w:val="en-CA"/>
        </w:rPr>
        <w:t xml:space="preserve"> </w:t>
      </w:r>
      <w:proofErr w:type="gramStart"/>
      <w:r w:rsidR="002457CC" w:rsidRPr="002457CC">
        <w:rPr>
          <w:lang w:val="en-CA"/>
        </w:rPr>
        <w:t>the November</w:t>
      </w:r>
      <w:proofErr w:type="gramEnd"/>
      <w:r w:rsidR="002457CC" w:rsidRPr="002457CC">
        <w:rPr>
          <w:lang w:val="en-CA"/>
        </w:rPr>
        <w:t xml:space="preserve"> 2025 rebalancing</w:t>
      </w:r>
    </w:p>
    <w:p w14:paraId="0EC90B49" w14:textId="77777777" w:rsidR="00652100" w:rsidRDefault="00652100" w:rsidP="00652100">
      <w:pPr>
        <w:rPr>
          <w:rFonts w:eastAsiaTheme="minorEastAsia"/>
          <w:lang w:val="en-CA" w:eastAsia="zh-CN"/>
        </w:rPr>
      </w:pPr>
    </w:p>
    <w:p w14:paraId="6AE68A34" w14:textId="5ECC596D" w:rsidR="00652100" w:rsidRPr="00652100" w:rsidRDefault="00652100" w:rsidP="00652100">
      <w:pPr>
        <w:rPr>
          <w:lang w:val="en-CA"/>
        </w:rPr>
      </w:pPr>
      <w:r w:rsidRPr="00652100">
        <w:rPr>
          <w:lang w:val="en-CA"/>
        </w:rPr>
        <w:t xml:space="preserve">Addition of the new </w:t>
      </w:r>
      <w:r>
        <w:rPr>
          <w:rFonts w:eastAsiaTheme="minorEastAsia" w:hint="eastAsia"/>
          <w:lang w:val="en-CA" w:eastAsia="zh-CN"/>
        </w:rPr>
        <w:t>weighting</w:t>
      </w:r>
      <w:r w:rsidRPr="00652100">
        <w:rPr>
          <w:lang w:val="en-CA"/>
        </w:rPr>
        <w:t xml:space="preserve"> rule: </w:t>
      </w:r>
    </w:p>
    <w:p w14:paraId="73E9870C" w14:textId="3D087948" w:rsidR="00652100" w:rsidRPr="00652100" w:rsidRDefault="00652100" w:rsidP="00652100">
      <w:pPr>
        <w:rPr>
          <w:rFonts w:eastAsiaTheme="minorEastAsia" w:hint="eastAsia"/>
          <w:lang w:val="en-US" w:eastAsia="zh-CN"/>
        </w:rPr>
      </w:pPr>
      <w:bookmarkStart w:id="1" w:name="_Hlk208851632"/>
      <w:r w:rsidRPr="00994A67">
        <w:rPr>
          <w:lang w:val="en-US" w:eastAsia="en-US"/>
        </w:rPr>
        <w:t xml:space="preserve">The weighting of the </w:t>
      </w:r>
      <w:proofErr w:type="gramStart"/>
      <w:r w:rsidRPr="00994A67">
        <w:rPr>
          <w:lang w:val="en-US" w:eastAsia="en-US"/>
        </w:rPr>
        <w:t>issuers</w:t>
      </w:r>
      <w:proofErr w:type="gramEnd"/>
      <w:r w:rsidRPr="00994A67">
        <w:rPr>
          <w:lang w:val="en-US" w:eastAsia="en-US"/>
        </w:rPr>
        <w:t xml:space="preserve"> in the index follows the following pattern: The two biggest </w:t>
      </w:r>
      <w:proofErr w:type="gramStart"/>
      <w:r w:rsidRPr="00994A67">
        <w:rPr>
          <w:lang w:val="en-US" w:eastAsia="en-US"/>
        </w:rPr>
        <w:t>issuers</w:t>
      </w:r>
      <w:proofErr w:type="gramEnd"/>
      <w:r w:rsidRPr="00994A67">
        <w:rPr>
          <w:lang w:val="en-US" w:eastAsia="en-US"/>
        </w:rPr>
        <w:t xml:space="preserve"> are capped at 10%; the next two biggest </w:t>
      </w:r>
      <w:proofErr w:type="gramStart"/>
      <w:r w:rsidRPr="00994A67">
        <w:rPr>
          <w:lang w:val="en-US" w:eastAsia="en-US"/>
        </w:rPr>
        <w:t>issuers</w:t>
      </w:r>
      <w:proofErr w:type="gramEnd"/>
      <w:r w:rsidRPr="00994A67">
        <w:rPr>
          <w:lang w:val="en-US" w:eastAsia="en-US"/>
        </w:rPr>
        <w:t xml:space="preserve"> are capped at 8% and the next following 2 biggest </w:t>
      </w:r>
      <w:proofErr w:type="gramStart"/>
      <w:r w:rsidRPr="00994A67">
        <w:rPr>
          <w:lang w:val="en-US" w:eastAsia="en-US"/>
        </w:rPr>
        <w:t>issuers</w:t>
      </w:r>
      <w:proofErr w:type="gramEnd"/>
      <w:r w:rsidRPr="00994A67">
        <w:rPr>
          <w:lang w:val="en-US" w:eastAsia="en-US"/>
        </w:rPr>
        <w:t xml:space="preserve"> are capped at 7%. All remaining issuers are capped at 4.99%</w:t>
      </w:r>
      <w:r>
        <w:rPr>
          <w:lang w:val="en-US" w:eastAsia="en-US"/>
        </w:rPr>
        <w:t>.</w:t>
      </w:r>
      <w:bookmarkEnd w:id="1"/>
    </w:p>
    <w:p w14:paraId="51289B07" w14:textId="0921A6B6" w:rsidR="00652100" w:rsidRDefault="00652100">
      <w:pPr>
        <w:spacing w:before="0" w:after="160" w:line="259" w:lineRule="auto"/>
        <w:jc w:val="left"/>
        <w:rPr>
          <w:lang w:val="en-CA"/>
        </w:rPr>
      </w:pPr>
      <w:r>
        <w:rPr>
          <w:lang w:val="en-CA"/>
        </w:rPr>
        <w:br w:type="page"/>
      </w:r>
    </w:p>
    <w:p w14:paraId="161AFB9D" w14:textId="4EDA4012" w:rsidR="00BA7E9B" w:rsidRPr="00086252" w:rsidRDefault="00BA7E9B" w:rsidP="00BA7E9B">
      <w:pPr>
        <w:spacing w:before="0" w:after="160" w:line="256" w:lineRule="auto"/>
        <w:jc w:val="left"/>
        <w:rPr>
          <w:lang w:val="en-CA"/>
        </w:rPr>
      </w:pPr>
      <w:r>
        <w:rPr>
          <w:sz w:val="28"/>
          <w:szCs w:val="28"/>
          <w:u w:val="single"/>
          <w:lang w:val="en-GB"/>
        </w:rPr>
        <w:lastRenderedPageBreak/>
        <w:t xml:space="preserve">Feedback on the Proposed </w:t>
      </w:r>
      <w:r w:rsidR="00086252">
        <w:rPr>
          <w:sz w:val="28"/>
          <w:szCs w:val="28"/>
          <w:u w:val="single"/>
          <w:lang w:val="en-GB"/>
        </w:rPr>
        <w:t>Amendment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If you would like to share your thoughts with </w:t>
      </w:r>
      <w:proofErr w:type="spellStart"/>
      <w:r>
        <w:rPr>
          <w:sz w:val="22"/>
          <w:szCs w:val="22"/>
          <w:lang w:val="en-US"/>
        </w:rPr>
        <w:t>Solactive</w:t>
      </w:r>
      <w:proofErr w:type="spellEnd"/>
      <w:r>
        <w:rPr>
          <w:sz w:val="22"/>
          <w:szCs w:val="22"/>
          <w:lang w:val="en-US"/>
        </w:rPr>
        <w:t xml:space="preserve">, please use this consultation form and provide us with your personal details and those of your organization.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220F686A" w14:textId="77777777" w:rsidR="00CE534F" w:rsidRPr="00CE534F" w:rsidRDefault="00CE534F" w:rsidP="00CE534F">
      <w:pPr>
        <w:spacing w:before="60" w:line="360" w:lineRule="auto"/>
        <w:rPr>
          <w:bCs/>
          <w:sz w:val="22"/>
          <w:szCs w:val="22"/>
          <w:lang w:val="en-CA"/>
        </w:rPr>
      </w:pPr>
      <w:proofErr w:type="spellStart"/>
      <w:r w:rsidRPr="00CE534F">
        <w:rPr>
          <w:bCs/>
          <w:sz w:val="22"/>
          <w:szCs w:val="22"/>
          <w:lang w:val="en-CA"/>
        </w:rPr>
        <w:t>Solactive</w:t>
      </w:r>
      <w:proofErr w:type="spellEnd"/>
      <w:r w:rsidRPr="00CE534F">
        <w:rPr>
          <w:bCs/>
          <w:sz w:val="22"/>
          <w:szCs w:val="22"/>
          <w:lang w:val="en-CA"/>
        </w:rPr>
        <w:t xml:space="preserve"> AG is inviting all stakeholders and interested third parties to provide feedback on the proposed methodology amendment. </w:t>
      </w:r>
    </w:p>
    <w:p w14:paraId="442573CA" w14:textId="77777777" w:rsidR="00CE534F" w:rsidRPr="00CE534F" w:rsidRDefault="00CE534F" w:rsidP="00CE534F">
      <w:pPr>
        <w:spacing w:before="60" w:line="360" w:lineRule="auto"/>
        <w:rPr>
          <w:bCs/>
          <w:sz w:val="22"/>
          <w:szCs w:val="22"/>
          <w:lang w:val="en-CA"/>
        </w:rPr>
      </w:pPr>
      <w:r w:rsidRPr="00CE534F">
        <w:rPr>
          <w:bCs/>
          <w:sz w:val="22"/>
          <w:szCs w:val="22"/>
          <w:lang w:val="en-CA"/>
        </w:rPr>
        <w:t xml:space="preserve">Consultation period: 10 business days from the publication date of this notice. </w:t>
      </w:r>
    </w:p>
    <w:p w14:paraId="6BD7E6F8" w14:textId="77777777" w:rsidR="00CE534F" w:rsidRPr="00CE534F" w:rsidRDefault="00CE534F" w:rsidP="00CE534F">
      <w:pPr>
        <w:spacing w:before="60" w:line="360" w:lineRule="auto"/>
        <w:rPr>
          <w:bCs/>
          <w:sz w:val="22"/>
          <w:szCs w:val="22"/>
          <w:lang w:val="en-CA"/>
        </w:rPr>
      </w:pPr>
      <w:r w:rsidRPr="00CE534F">
        <w:rPr>
          <w:bCs/>
          <w:sz w:val="22"/>
          <w:szCs w:val="22"/>
          <w:lang w:val="en-CA"/>
        </w:rPr>
        <w:t xml:space="preserve">Public notice period (after decision): 10 business days prior to the implementation of the change. </w:t>
      </w:r>
    </w:p>
    <w:p w14:paraId="1C62C837" w14:textId="54C4A916" w:rsidR="005055F5" w:rsidRPr="00CE534F" w:rsidRDefault="00CE534F" w:rsidP="00CE534F">
      <w:pPr>
        <w:spacing w:before="60" w:line="360" w:lineRule="auto"/>
        <w:rPr>
          <w:bCs/>
          <w:sz w:val="22"/>
          <w:szCs w:val="22"/>
          <w:lang w:val="en-US"/>
        </w:rPr>
      </w:pPr>
      <w:r w:rsidRPr="00CE534F">
        <w:rPr>
          <w:bCs/>
          <w:sz w:val="22"/>
          <w:szCs w:val="22"/>
          <w:lang w:val="en-CA"/>
        </w:rPr>
        <w:t xml:space="preserve">Implementation: Subject to feedback received and final approval by the Index Committee, the updated Index Guideline will be published on the </w:t>
      </w:r>
      <w:proofErr w:type="spellStart"/>
      <w:r w:rsidRPr="00CE534F">
        <w:rPr>
          <w:bCs/>
          <w:sz w:val="22"/>
          <w:szCs w:val="22"/>
          <w:lang w:val="en-CA"/>
        </w:rPr>
        <w:t>Solactive</w:t>
      </w:r>
      <w:proofErr w:type="spellEnd"/>
      <w:r w:rsidRPr="00CE534F">
        <w:rPr>
          <w:bCs/>
          <w:sz w:val="22"/>
          <w:szCs w:val="22"/>
          <w:lang w:val="en-CA"/>
        </w:rPr>
        <w:t xml:space="preserve"> website.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33BC1" w14:paraId="008B2314" w14:textId="77777777" w:rsidTr="001728F7">
        <w:trPr>
          <w:trHeight w:val="4596"/>
        </w:trPr>
        <w:tc>
          <w:tcPr>
            <w:tcW w:w="10171" w:type="dxa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634E9917" w14:textId="77777777" w:rsidR="00CF576A" w:rsidRDefault="00CF576A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E48A0D4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6CA3DE1D" w:rsidR="005055F5" w:rsidRPr="0046368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CE534F">
        <w:rPr>
          <w:sz w:val="22"/>
          <w:szCs w:val="22"/>
          <w:lang w:val="en-US"/>
        </w:rPr>
        <w:t>9</w:t>
      </w:r>
      <w:r w:rsidR="0046368C" w:rsidRPr="000464B7">
        <w:rPr>
          <w:sz w:val="22"/>
          <w:szCs w:val="22"/>
          <w:vertAlign w:val="superscript"/>
          <w:lang w:val="en-US"/>
        </w:rPr>
        <w:t>th</w:t>
      </w:r>
      <w:r w:rsidR="000464B7">
        <w:rPr>
          <w:sz w:val="22"/>
          <w:szCs w:val="22"/>
          <w:lang w:val="en-US"/>
        </w:rPr>
        <w:t xml:space="preserve"> Octo</w:t>
      </w:r>
      <w:r w:rsidR="0046368C" w:rsidRPr="0046368C">
        <w:rPr>
          <w:sz w:val="22"/>
          <w:szCs w:val="22"/>
          <w:lang w:val="en-US"/>
        </w:rPr>
        <w:t>ber 202</w:t>
      </w:r>
      <w:r w:rsidR="000464B7">
        <w:rPr>
          <w:sz w:val="22"/>
          <w:szCs w:val="22"/>
          <w:lang w:val="en-US"/>
        </w:rPr>
        <w:t>5</w:t>
      </w:r>
      <w:r w:rsidR="0046368C" w:rsidRPr="0046368C">
        <w:rPr>
          <w:sz w:val="22"/>
          <w:szCs w:val="22"/>
          <w:lang w:val="en-US"/>
        </w:rPr>
        <w:t xml:space="preserve"> (cob)</w:t>
      </w:r>
      <w:r w:rsidR="0046368C">
        <w:rPr>
          <w:sz w:val="22"/>
          <w:szCs w:val="22"/>
          <w:lang w:val="en-US"/>
        </w:rPr>
        <w:t>.</w:t>
      </w:r>
    </w:p>
    <w:p w14:paraId="04131284" w14:textId="0A3D9455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Please send your feedback via email to</w:t>
      </w:r>
      <w:r w:rsidR="0046368C">
        <w:rPr>
          <w:sz w:val="22"/>
          <w:szCs w:val="22"/>
          <w:lang w:val="en-US"/>
        </w:rPr>
        <w:t xml:space="preserve"> </w:t>
      </w:r>
      <w:bookmarkStart w:id="2" w:name="_Hlk85123117"/>
      <w:r w:rsidR="0046368C" w:rsidRPr="00325296">
        <w:rPr>
          <w:sz w:val="22"/>
          <w:szCs w:val="22"/>
        </w:rPr>
        <w:fldChar w:fldCharType="begin"/>
      </w:r>
      <w:r w:rsidR="0046368C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46368C" w:rsidRPr="00325296">
        <w:rPr>
          <w:sz w:val="22"/>
          <w:szCs w:val="22"/>
        </w:rPr>
      </w:r>
      <w:r w:rsidR="0046368C" w:rsidRPr="00325296">
        <w:rPr>
          <w:sz w:val="22"/>
          <w:szCs w:val="22"/>
        </w:rPr>
        <w:fldChar w:fldCharType="separate"/>
      </w:r>
      <w:r w:rsidR="0046368C" w:rsidRPr="00325296">
        <w:rPr>
          <w:rStyle w:val="Hyperlink"/>
          <w:sz w:val="22"/>
          <w:szCs w:val="22"/>
          <w:lang w:val="en-US"/>
        </w:rPr>
        <w:t>marketconsultation@solactive.com</w:t>
      </w:r>
      <w:r w:rsidR="0046368C" w:rsidRPr="00325296">
        <w:rPr>
          <w:sz w:val="22"/>
          <w:szCs w:val="22"/>
        </w:rPr>
        <w:fldChar w:fldCharType="end"/>
      </w:r>
      <w:bookmarkEnd w:id="2"/>
      <w:r w:rsidR="0046368C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specifying “Market Consultation</w:t>
      </w:r>
      <w:r w:rsidR="00BA7E9B" w:rsidRPr="00BA7E9B">
        <w:rPr>
          <w:sz w:val="22"/>
          <w:szCs w:val="22"/>
          <w:lang w:val="en-US"/>
        </w:rPr>
        <w:t>- Bond Market 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F76706" w:rsidRDefault="005055F5" w:rsidP="005055F5">
      <w:pPr>
        <w:spacing w:after="0"/>
        <w:rPr>
          <w:sz w:val="22"/>
          <w:szCs w:val="22"/>
          <w:lang w:val="it-IT"/>
        </w:rPr>
      </w:pPr>
      <w:r w:rsidRPr="00F76706">
        <w:rPr>
          <w:sz w:val="22"/>
          <w:szCs w:val="22"/>
          <w:lang w:val="it-IT"/>
        </w:rPr>
        <w:t>via postal mail to:</w:t>
      </w:r>
      <w:r w:rsidRPr="00F76706">
        <w:rPr>
          <w:sz w:val="22"/>
          <w:szCs w:val="22"/>
          <w:lang w:val="it-IT"/>
        </w:rPr>
        <w:tab/>
      </w:r>
      <w:r w:rsidRPr="00F76706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E33BC1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Should you have any additional questions regarding the consultative </w:t>
            </w:r>
            <w:proofErr w:type="gramStart"/>
            <w:r>
              <w:rPr>
                <w:sz w:val="22"/>
                <w:szCs w:val="22"/>
                <w:lang w:val="en-US"/>
              </w:rPr>
              <w:t>question in particular, please</w:t>
            </w:r>
            <w:proofErr w:type="gramEnd"/>
            <w:r>
              <w:rPr>
                <w:sz w:val="22"/>
                <w:szCs w:val="22"/>
                <w:lang w:val="en-US"/>
              </w:rPr>
              <w:t xml:space="preserve">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513E4C9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="00C1772D" w:rsidRPr="008D10AF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4" w:history="1">
                              <w:r w:rsidRPr="00F7670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670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F76706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>Solactive</w:t>
                            </w:r>
                            <w:proofErr w:type="spellEnd"/>
                            <w:r w:rsidRPr="00F76706">
                              <w:rPr>
                                <w:color w:val="FFFFFF" w:themeColor="background1"/>
                                <w:lang w:val="fr-FR"/>
                              </w:rPr>
                              <w:t xml:space="preserve"> AG</w:t>
                            </w:r>
                          </w:p>
                          <w:p w14:paraId="5087DCB6" w14:textId="77777777" w:rsidR="00110CA0" w:rsidRPr="00F76706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513E4C9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="00C1772D" w:rsidRPr="008D10AF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proofErr w:type="gramStart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proofErr w:type="gramEnd"/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6" w:history="1">
                        <w:r w:rsidRPr="00F7670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670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F76706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6706">
                        <w:rPr>
                          <w:color w:val="FFFFFF" w:themeColor="background1"/>
                          <w:lang w:val="fr-FR"/>
                        </w:rPr>
                        <w:t xml:space="preserve">© </w:t>
                      </w:r>
                      <w:proofErr w:type="spellStart"/>
                      <w:r w:rsidRPr="00F76706">
                        <w:rPr>
                          <w:color w:val="FFFFFF" w:themeColor="background1"/>
                          <w:lang w:val="fr-FR"/>
                        </w:rPr>
                        <w:t>Solactive</w:t>
                      </w:r>
                      <w:proofErr w:type="spellEnd"/>
                      <w:r w:rsidRPr="00F76706">
                        <w:rPr>
                          <w:color w:val="FFFFFF" w:themeColor="background1"/>
                          <w:lang w:val="fr-FR"/>
                        </w:rPr>
                        <w:t xml:space="preserve"> AG</w:t>
                      </w:r>
                    </w:p>
                    <w:p w14:paraId="5087DCB6" w14:textId="77777777" w:rsidR="00110CA0" w:rsidRPr="00F76706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EB962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7"/>
      <w:footerReference w:type="default" r:id="rId18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2B0A7" w14:textId="77777777" w:rsidR="00E86096" w:rsidRDefault="00E86096" w:rsidP="002E70FC">
      <w:pPr>
        <w:spacing w:before="0" w:after="0"/>
      </w:pPr>
      <w:r>
        <w:separator/>
      </w:r>
    </w:p>
  </w:endnote>
  <w:endnote w:type="continuationSeparator" w:id="0">
    <w:p w14:paraId="019D2773" w14:textId="77777777" w:rsidR="00E86096" w:rsidRDefault="00E8609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290C31-4B29-467B-A6CC-D2FE382F613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DF5EFE-7B4E-4B68-A435-45C1AF1BB72B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56EAED7-37C7-447E-9B32-1B1E86729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204DE" w14:textId="77777777" w:rsidR="00E86096" w:rsidRDefault="00E86096" w:rsidP="002E70FC">
      <w:pPr>
        <w:spacing w:before="0" w:after="0"/>
      </w:pPr>
      <w:r>
        <w:separator/>
      </w:r>
    </w:p>
  </w:footnote>
  <w:footnote w:type="continuationSeparator" w:id="0">
    <w:p w14:paraId="7E7636B1" w14:textId="77777777" w:rsidR="00E86096" w:rsidRDefault="00E8609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2415F2A4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6252">
      <w:rPr>
        <w:lang w:val="en-US"/>
      </w:rPr>
      <w:t xml:space="preserve">Market Consultation Methodology Amendment: </w:t>
    </w:r>
    <w:r w:rsidR="00086252">
      <w:t>Treatment</w:t>
    </w:r>
    <w:r w:rsidR="00CE534F" w:rsidRPr="00CE534F">
      <w:t xml:space="preserve"> </w:t>
    </w:r>
    <w:proofErr w:type="spellStart"/>
    <w:proofErr w:type="gramStart"/>
    <w:r w:rsidR="00CE534F" w:rsidRPr="00CE534F">
      <w:t>To</w:t>
    </w:r>
    <w:proofErr w:type="spellEnd"/>
    <w:proofErr w:type="gramEnd"/>
    <w:r w:rsidR="00CE534F" w:rsidRPr="00CE534F">
      <w:t xml:space="preserve"> </w:t>
    </w:r>
    <w:proofErr w:type="spellStart"/>
    <w:r w:rsidR="00A0792F" w:rsidRPr="00CE534F">
      <w:t>Eligibility</w:t>
    </w:r>
    <w:proofErr w:type="spellEnd"/>
    <w:r w:rsidR="00A0792F" w:rsidRPr="00CE534F">
      <w:t xml:space="preserve"> </w:t>
    </w:r>
    <w:proofErr w:type="spellStart"/>
    <w:r w:rsidR="00A0792F" w:rsidRPr="00CE534F">
      <w:t>Criteria</w:t>
    </w:r>
    <w:proofErr w:type="spellEnd"/>
    <w:r w:rsidR="00A0792F" w:rsidRPr="00CE534F">
      <w:t xml:space="preserve"> </w:t>
    </w:r>
    <w:proofErr w:type="gramStart"/>
    <w:r w:rsidR="00A0792F" w:rsidRPr="00CE534F">
      <w:t>And</w:t>
    </w:r>
    <w:proofErr w:type="gramEnd"/>
    <w:r w:rsidR="00A0792F" w:rsidRPr="00CE534F">
      <w:t xml:space="preserve"> Issuer </w:t>
    </w:r>
    <w:proofErr w:type="spellStart"/>
    <w:r w:rsidR="00A0792F" w:rsidRPr="00CE534F">
      <w:t>Capping</w:t>
    </w:r>
    <w:proofErr w:type="spellEnd"/>
    <w:r w:rsidR="00A0792F" w:rsidRPr="00CE534F">
      <w:t xml:space="preserve"> </w:t>
    </w:r>
    <w:proofErr w:type="spellStart"/>
    <w:r w:rsidR="00A0792F" w:rsidRPr="00CE534F">
      <w:t>Methodology</w:t>
    </w:r>
    <w:proofErr w:type="spellEnd"/>
    <w:r w:rsidR="00A0792F" w:rsidRPr="00E06A59">
      <w:rPr>
        <w:noProof/>
        <w:lang w:val="en-US"/>
      </w:rPr>
      <w:t xml:space="preserve"> </w:t>
    </w:r>
    <w:r w:rsidR="00A0792F">
      <w:rPr>
        <w:noProof/>
        <w:lang w:val="en-US"/>
      </w:rPr>
      <w:t xml:space="preserve">In </w:t>
    </w:r>
    <w:proofErr w:type="gramStart"/>
    <w:r w:rsidR="00CE534F" w:rsidRPr="00CE534F">
      <w:t>The</w:t>
    </w:r>
    <w:proofErr w:type="gramEnd"/>
    <w:r w:rsidR="00CE534F" w:rsidRPr="00CE534F">
      <w:t xml:space="preserve"> </w:t>
    </w:r>
    <w:proofErr w:type="spellStart"/>
    <w:r w:rsidR="00CE534F" w:rsidRPr="00CE534F">
      <w:t>Selection</w:t>
    </w:r>
    <w:proofErr w:type="spellEnd"/>
    <w:r w:rsidR="00CE534F" w:rsidRPr="00CE534F">
      <w:t xml:space="preserve"> Rules </w:t>
    </w:r>
    <w:proofErr w:type="spellStart"/>
    <w:proofErr w:type="gramStart"/>
    <w:r w:rsidR="00CE534F" w:rsidRPr="00CE534F">
      <w:t>Of</w:t>
    </w:r>
    <w:proofErr w:type="spellEnd"/>
    <w:proofErr w:type="gramEnd"/>
    <w:r w:rsidR="00CE534F" w:rsidRPr="00CE534F">
      <w:t xml:space="preserve"> </w:t>
    </w:r>
    <w:proofErr w:type="gramStart"/>
    <w:r w:rsidR="00CE534F" w:rsidRPr="00CE534F">
      <w:t>The</w:t>
    </w:r>
    <w:proofErr w:type="gramEnd"/>
    <w:r w:rsidR="00CE534F" w:rsidRPr="00CE534F">
      <w:t xml:space="preserve"> Solactive Hilton Capital BDC Corporate Bond TR 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25.9pt;height:19.9pt" o:bullet="t">
        <v:imagedata r:id="rId1" o:title="S_Icons-Haken_02"/>
      </v:shape>
    </w:pict>
  </w:numPicBullet>
  <w:numPicBullet w:numPicBulletId="1">
    <w:pict>
      <v:shape id="_x0000_i1123" type="#_x0000_t75" style="width:19.9pt;height:19.9pt" o:bullet="t">
        <v:imagedata r:id="rId2" o:title="S_Icons-Pfeil_02"/>
      </v:shape>
    </w:pict>
  </w:numPicBullet>
  <w:numPicBullet w:numPicBulletId="2">
    <w:pict>
      <v:shape id="_x0000_i1124" type="#_x0000_t75" style="width:15.35pt;height:15.85pt" o:bullet="t">
        <v:imagedata r:id="rId3" o:title="Bullet_2_Indices_Small"/>
      </v:shape>
    </w:pict>
  </w:numPicBullet>
  <w:numPicBullet w:numPicBulletId="3">
    <w:pict>
      <v:shape id="_x0000_i112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052B5"/>
    <w:multiLevelType w:val="hybridMultilevel"/>
    <w:tmpl w:val="D51298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F6442B"/>
    <w:multiLevelType w:val="multilevel"/>
    <w:tmpl w:val="E884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375953"/>
    <w:multiLevelType w:val="hybridMultilevel"/>
    <w:tmpl w:val="EBF4836A"/>
    <w:lvl w:ilvl="0" w:tplc="96444680">
      <w:numFmt w:val="bullet"/>
      <w:lvlText w:val="-"/>
      <w:lvlJc w:val="left"/>
      <w:pPr>
        <w:ind w:left="1068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702722">
    <w:abstractNumId w:val="5"/>
  </w:num>
  <w:num w:numId="2" w16cid:durableId="977684928">
    <w:abstractNumId w:val="8"/>
  </w:num>
  <w:num w:numId="3" w16cid:durableId="234510713">
    <w:abstractNumId w:val="18"/>
  </w:num>
  <w:num w:numId="4" w16cid:durableId="1423795483">
    <w:abstractNumId w:val="20"/>
  </w:num>
  <w:num w:numId="5" w16cid:durableId="409695271">
    <w:abstractNumId w:val="17"/>
  </w:num>
  <w:num w:numId="6" w16cid:durableId="662705505">
    <w:abstractNumId w:val="9"/>
  </w:num>
  <w:num w:numId="7" w16cid:durableId="392430323">
    <w:abstractNumId w:val="19"/>
  </w:num>
  <w:num w:numId="8" w16cid:durableId="1169178197">
    <w:abstractNumId w:val="2"/>
  </w:num>
  <w:num w:numId="9" w16cid:durableId="305206567">
    <w:abstractNumId w:val="15"/>
  </w:num>
  <w:num w:numId="10" w16cid:durableId="2052146113">
    <w:abstractNumId w:val="14"/>
  </w:num>
  <w:num w:numId="11" w16cid:durableId="276986208">
    <w:abstractNumId w:val="1"/>
  </w:num>
  <w:num w:numId="12" w16cid:durableId="48261781">
    <w:abstractNumId w:val="0"/>
  </w:num>
  <w:num w:numId="13" w16cid:durableId="434058069">
    <w:abstractNumId w:val="16"/>
  </w:num>
  <w:num w:numId="14" w16cid:durableId="430704947">
    <w:abstractNumId w:val="12"/>
  </w:num>
  <w:num w:numId="15" w16cid:durableId="777601952">
    <w:abstractNumId w:val="3"/>
  </w:num>
  <w:num w:numId="16" w16cid:durableId="486557326">
    <w:abstractNumId w:val="13"/>
  </w:num>
  <w:num w:numId="17" w16cid:durableId="228460581">
    <w:abstractNumId w:val="21"/>
  </w:num>
  <w:num w:numId="18" w16cid:durableId="910894218">
    <w:abstractNumId w:val="10"/>
  </w:num>
  <w:num w:numId="19" w16cid:durableId="519589443">
    <w:abstractNumId w:val="11"/>
  </w:num>
  <w:num w:numId="20" w16cid:durableId="941184747">
    <w:abstractNumId w:val="7"/>
  </w:num>
  <w:num w:numId="21" w16cid:durableId="717782105">
    <w:abstractNumId w:val="6"/>
  </w:num>
  <w:num w:numId="22" w16cid:durableId="1614483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464B7"/>
    <w:rsid w:val="00050A4F"/>
    <w:rsid w:val="00066898"/>
    <w:rsid w:val="00077C61"/>
    <w:rsid w:val="00080F81"/>
    <w:rsid w:val="000849B9"/>
    <w:rsid w:val="000852F2"/>
    <w:rsid w:val="00085BB3"/>
    <w:rsid w:val="00086252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4AC6"/>
    <w:rsid w:val="00135E34"/>
    <w:rsid w:val="00185395"/>
    <w:rsid w:val="001913FD"/>
    <w:rsid w:val="00192032"/>
    <w:rsid w:val="0019287D"/>
    <w:rsid w:val="00196409"/>
    <w:rsid w:val="00196791"/>
    <w:rsid w:val="001A4D55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457CC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67521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6368C"/>
    <w:rsid w:val="00471895"/>
    <w:rsid w:val="00475079"/>
    <w:rsid w:val="00490B58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2100"/>
    <w:rsid w:val="00656E53"/>
    <w:rsid w:val="0065775A"/>
    <w:rsid w:val="00687F0D"/>
    <w:rsid w:val="0069329B"/>
    <w:rsid w:val="00694010"/>
    <w:rsid w:val="006954CA"/>
    <w:rsid w:val="006A0793"/>
    <w:rsid w:val="006C2A33"/>
    <w:rsid w:val="006C564D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274"/>
    <w:rsid w:val="008345B7"/>
    <w:rsid w:val="00852511"/>
    <w:rsid w:val="00875EDB"/>
    <w:rsid w:val="00880689"/>
    <w:rsid w:val="00880A6E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76D83"/>
    <w:rsid w:val="00983D90"/>
    <w:rsid w:val="009A27F6"/>
    <w:rsid w:val="009A4F6D"/>
    <w:rsid w:val="009B45ED"/>
    <w:rsid w:val="009C5F0F"/>
    <w:rsid w:val="009C62E7"/>
    <w:rsid w:val="009D2EF7"/>
    <w:rsid w:val="009F51A9"/>
    <w:rsid w:val="00A0792F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03FF6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1772D"/>
    <w:rsid w:val="00C22CA0"/>
    <w:rsid w:val="00C24716"/>
    <w:rsid w:val="00C4722A"/>
    <w:rsid w:val="00C676D8"/>
    <w:rsid w:val="00C750BC"/>
    <w:rsid w:val="00C77505"/>
    <w:rsid w:val="00CA595E"/>
    <w:rsid w:val="00CC4A71"/>
    <w:rsid w:val="00CD3D05"/>
    <w:rsid w:val="00CD41EB"/>
    <w:rsid w:val="00CD7B75"/>
    <w:rsid w:val="00CE534F"/>
    <w:rsid w:val="00CF29CC"/>
    <w:rsid w:val="00CF576A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7F6A"/>
    <w:rsid w:val="00DF306F"/>
    <w:rsid w:val="00E06A59"/>
    <w:rsid w:val="00E072E6"/>
    <w:rsid w:val="00E22C03"/>
    <w:rsid w:val="00E33BC1"/>
    <w:rsid w:val="00E35FA1"/>
    <w:rsid w:val="00E43678"/>
    <w:rsid w:val="00E530BC"/>
    <w:rsid w:val="00E55AA7"/>
    <w:rsid w:val="00E738F4"/>
    <w:rsid w:val="00E75C53"/>
    <w:rsid w:val="00E85D18"/>
    <w:rsid w:val="00E86096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6706"/>
    <w:rsid w:val="00F77D37"/>
    <w:rsid w:val="00F8097C"/>
    <w:rsid w:val="00F863D9"/>
    <w:rsid w:val="00F948C6"/>
    <w:rsid w:val="00F97AFE"/>
    <w:rsid w:val="00FB75BF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paragraph" w:styleId="NormalWeb">
    <w:name w:val="Normal (Web)"/>
    <w:basedOn w:val="Normal"/>
    <w:uiPriority w:val="99"/>
    <w:semiHidden/>
    <w:unhideWhenUsed/>
    <w:rsid w:val="00CF576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2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sec.gov/about/opendatasetsshtmlbdc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ec.gov/about/opendatasetsshtmlbdc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42EF4"/>
    <w:rsid w:val="001964B4"/>
    <w:rsid w:val="001A3C98"/>
    <w:rsid w:val="002C59F1"/>
    <w:rsid w:val="00367521"/>
    <w:rsid w:val="004B6E01"/>
    <w:rsid w:val="00523072"/>
    <w:rsid w:val="005325BE"/>
    <w:rsid w:val="00872728"/>
    <w:rsid w:val="00911CFE"/>
    <w:rsid w:val="00976D83"/>
    <w:rsid w:val="009C1986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2025-09-25T00:00:00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673</Words>
  <Characters>3838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METHODOLOGY AMENDMENT:</vt:lpstr>
      <vt:lpstr>Index Calculation Guideline</vt:lpstr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METHODOLOGY AMENDMENT:</dc:title>
  <dc:subject>Calculation Documents &amp; Methodologies</dc:subject>
  <dc:creator>Solactive AG</dc:creator>
  <cp:keywords/>
  <dc:description/>
  <cp:lastModifiedBy>Cheng, Eric</cp:lastModifiedBy>
  <cp:revision>3</cp:revision>
  <cp:lastPrinted>2025-09-24T19:09:00Z</cp:lastPrinted>
  <dcterms:created xsi:type="dcterms:W3CDTF">2025-09-24T20:15:00Z</dcterms:created>
  <dcterms:modified xsi:type="dcterms:W3CDTF">2025-09-25T20:16:00Z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