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4A6EC59" w:rsidR="0092193A" w:rsidRPr="0097651D" w:rsidRDefault="00304966" w:rsidP="0092193A">
              <w:pPr>
                <w:pStyle w:val="Title"/>
                <w:rPr>
                  <w:lang w:val="en-US"/>
                </w:rPr>
              </w:pPr>
              <w:r w:rsidRPr="00304966">
                <w:rPr>
                  <w:color w:val="FFFFFF" w:themeColor="background1"/>
                  <w:lang w:val="en-US"/>
                </w:rPr>
                <w:t>Market Consultation Solactive Lloyd Growth Equity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97D61CC" w:rsidR="00466905" w:rsidRPr="00D902A1" w:rsidRDefault="0072496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7-11T00:00:00Z">
                                      <w:dateFormat w:val="dd MMMM yyyy"/>
                                      <w:lid w:val="en-GB"/>
                                      <w:storeMappedDataAs w:val="dateTime"/>
                                      <w:calendar w:val="gregorian"/>
                                    </w:date>
                                  </w:sdtPr>
                                  <w:sdtEndPr/>
                                  <w:sdtContent>
                                    <w:r w:rsidR="00304966">
                                      <w:rPr>
                                        <w:color w:val="FFFFFF" w:themeColor="background1"/>
                                        <w:sz w:val="26"/>
                                        <w:szCs w:val="26"/>
                                        <w:lang w:val="en-GB"/>
                                      </w:rPr>
                                      <w:t>11 July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97D61CC" w:rsidR="00466905" w:rsidRPr="00D902A1" w:rsidRDefault="0072496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7-11T00:00:00Z">
                                <w:dateFormat w:val="dd MMMM yyyy"/>
                                <w:lid w:val="en-GB"/>
                                <w:storeMappedDataAs w:val="dateTime"/>
                                <w:calendar w:val="gregorian"/>
                              </w:date>
                            </w:sdtPr>
                            <w:sdtEndPr/>
                            <w:sdtContent>
                              <w:r w:rsidR="00304966">
                                <w:rPr>
                                  <w:color w:val="FFFFFF" w:themeColor="background1"/>
                                  <w:sz w:val="26"/>
                                  <w:szCs w:val="26"/>
                                  <w:lang w:val="en-GB"/>
                                </w:rPr>
                                <w:t>11 July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05D0A360"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724967">
        <w:rPr>
          <w:lang w:val="en-GB"/>
        </w:rPr>
        <w:t>Ind</w:t>
      </w:r>
      <w:r w:rsidR="00E05994" w:rsidRPr="00724967">
        <w:rPr>
          <w:lang w:val="en-GB"/>
        </w:rPr>
        <w:t>ices (the ‘</w:t>
      </w:r>
      <w:r w:rsidR="00A97E61" w:rsidRPr="00724967">
        <w:rPr>
          <w:lang w:val="en-GB"/>
        </w:rPr>
        <w:t>Ind</w:t>
      </w:r>
      <w:r w:rsidR="00E05994" w:rsidRPr="00724967">
        <w:rPr>
          <w:lang w:val="en-GB"/>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304966" w:rsidRPr="00304966" w14:paraId="4710BF3C" w14:textId="77777777" w:rsidTr="00724967">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68693C34" w14:textId="77777777" w:rsidR="00304966" w:rsidRPr="00304966" w:rsidRDefault="00304966" w:rsidP="00304966">
            <w:pPr>
              <w:spacing w:line="256" w:lineRule="auto"/>
              <w:rPr>
                <w:b/>
                <w:bCs/>
              </w:rPr>
            </w:pPr>
            <w:r w:rsidRPr="00304966">
              <w:rPr>
                <w:b/>
                <w:bCs/>
              </w:rPr>
              <w:t>Solactive Lloyd Growth Equity Index CNTR</w:t>
            </w:r>
          </w:p>
        </w:tc>
        <w:tc>
          <w:tcPr>
            <w:tcW w:w="156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28377E12" w14:textId="77777777" w:rsidR="00304966" w:rsidRPr="00304966" w:rsidRDefault="00304966" w:rsidP="00304966">
            <w:pPr>
              <w:spacing w:line="256" w:lineRule="auto"/>
              <w:rPr>
                <w:b/>
                <w:bCs/>
              </w:rPr>
            </w:pPr>
            <w:proofErr w:type="gramStart"/>
            <w:r w:rsidRPr="00304966">
              <w:rPr>
                <w:b/>
                <w:bCs/>
              </w:rPr>
              <w:t>.SGEPNTRC</w:t>
            </w:r>
            <w:proofErr w:type="gramEnd"/>
          </w:p>
        </w:tc>
        <w:tc>
          <w:tcPr>
            <w:tcW w:w="184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73EC3095" w14:textId="77777777" w:rsidR="00304966" w:rsidRPr="00304966" w:rsidRDefault="00304966" w:rsidP="00304966">
            <w:pPr>
              <w:spacing w:line="256" w:lineRule="auto"/>
              <w:rPr>
                <w:b/>
                <w:bCs/>
              </w:rPr>
            </w:pPr>
            <w:r w:rsidRPr="00304966">
              <w:rPr>
                <w:b/>
                <w:bCs/>
              </w:rPr>
              <w:t>DE000SL0K310</w:t>
            </w:r>
          </w:p>
        </w:tc>
      </w:tr>
      <w:tr w:rsidR="00304966" w:rsidRPr="00304966" w14:paraId="51B5E634" w14:textId="77777777" w:rsidTr="00724967">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68854B6B" w14:textId="77777777" w:rsidR="00304966" w:rsidRPr="00304966" w:rsidRDefault="00304966" w:rsidP="00304966">
            <w:pPr>
              <w:spacing w:line="256" w:lineRule="auto"/>
              <w:rPr>
                <w:b/>
                <w:bCs/>
              </w:rPr>
            </w:pPr>
            <w:r w:rsidRPr="00304966">
              <w:rPr>
                <w:b/>
                <w:bCs/>
              </w:rPr>
              <w:t>Solactive Lloyd Growth Equity Index PR</w:t>
            </w:r>
          </w:p>
        </w:tc>
        <w:tc>
          <w:tcPr>
            <w:tcW w:w="156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5CAB33EB" w14:textId="77777777" w:rsidR="00304966" w:rsidRPr="00304966" w:rsidRDefault="00304966" w:rsidP="00304966">
            <w:pPr>
              <w:spacing w:line="256" w:lineRule="auto"/>
              <w:rPr>
                <w:b/>
                <w:bCs/>
              </w:rPr>
            </w:pPr>
            <w:proofErr w:type="gramStart"/>
            <w:r w:rsidRPr="00304966">
              <w:rPr>
                <w:b/>
                <w:bCs/>
              </w:rPr>
              <w:t>.SGEPPRP</w:t>
            </w:r>
            <w:proofErr w:type="gramEnd"/>
          </w:p>
        </w:tc>
        <w:tc>
          <w:tcPr>
            <w:tcW w:w="184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2EF3955D" w14:textId="77777777" w:rsidR="00304966" w:rsidRPr="00304966" w:rsidRDefault="00304966" w:rsidP="00304966">
            <w:pPr>
              <w:spacing w:line="256" w:lineRule="auto"/>
              <w:rPr>
                <w:b/>
                <w:bCs/>
              </w:rPr>
            </w:pPr>
            <w:r w:rsidRPr="00304966">
              <w:rPr>
                <w:b/>
                <w:bCs/>
              </w:rPr>
              <w:t>DE000SL0K302</w:t>
            </w:r>
          </w:p>
        </w:tc>
      </w:tr>
      <w:tr w:rsidR="00304966" w:rsidRPr="00304966" w14:paraId="242D988E" w14:textId="77777777" w:rsidTr="00724967">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4A4D356D" w14:textId="77777777" w:rsidR="00304966" w:rsidRPr="00304966" w:rsidRDefault="00304966" w:rsidP="00304966">
            <w:pPr>
              <w:spacing w:line="256" w:lineRule="auto"/>
              <w:rPr>
                <w:b/>
                <w:bCs/>
              </w:rPr>
            </w:pPr>
            <w:r w:rsidRPr="00304966">
              <w:rPr>
                <w:b/>
                <w:bCs/>
              </w:rPr>
              <w:t>Solactive Lloyd Growth Equity Index TR</w:t>
            </w:r>
          </w:p>
        </w:tc>
        <w:tc>
          <w:tcPr>
            <w:tcW w:w="1560"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0F077CF4" w14:textId="77777777" w:rsidR="00304966" w:rsidRPr="00304966" w:rsidRDefault="00304966" w:rsidP="00304966">
            <w:pPr>
              <w:spacing w:line="256" w:lineRule="auto"/>
              <w:rPr>
                <w:b/>
                <w:bCs/>
              </w:rPr>
            </w:pPr>
            <w:proofErr w:type="gramStart"/>
            <w:r w:rsidRPr="00304966">
              <w:rPr>
                <w:b/>
                <w:bCs/>
              </w:rPr>
              <w:t>.SGEPTRT</w:t>
            </w:r>
            <w:proofErr w:type="gramEnd"/>
          </w:p>
        </w:tc>
        <w:tc>
          <w:tcPr>
            <w:tcW w:w="1842" w:type="dxa"/>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2D5154C3" w14:textId="77777777" w:rsidR="00304966" w:rsidRPr="00304966" w:rsidRDefault="00304966" w:rsidP="00304966">
            <w:pPr>
              <w:spacing w:line="256" w:lineRule="auto"/>
              <w:rPr>
                <w:b/>
                <w:bCs/>
              </w:rPr>
            </w:pPr>
            <w:r w:rsidRPr="00304966">
              <w:rPr>
                <w:b/>
                <w:bCs/>
              </w:rPr>
              <w:t>DE000SL0K328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63B58C7B" w14:textId="7988FF0D" w:rsidR="005301A2" w:rsidRDefault="005301A2" w:rsidP="00F568D6">
      <w:pPr>
        <w:spacing w:before="0" w:after="160" w:line="259" w:lineRule="auto"/>
        <w:jc w:val="left"/>
        <w:rPr>
          <w:u w:val="single"/>
          <w:lang w:val="en-GB"/>
        </w:rPr>
      </w:pPr>
      <w:r>
        <w:rPr>
          <w:lang w:val="en-GB"/>
        </w:rPr>
        <w:t xml:space="preserve">In this methodology change, </w:t>
      </w:r>
      <w:proofErr w:type="spellStart"/>
      <w:r>
        <w:rPr>
          <w:lang w:val="en-GB"/>
        </w:rPr>
        <w:t>Solactive</w:t>
      </w:r>
      <w:proofErr w:type="spellEnd"/>
      <w:r>
        <w:rPr>
          <w:lang w:val="en-GB"/>
        </w:rPr>
        <w:t xml:space="preserve"> aims at detailing and clarifying the rules the Selection Party is following to build the index universe, select the constituents and assign a weight to final constituents. We clarify the conditions leading to an Extraordinary Rebalance. We also move the rebalancing to end of month. </w:t>
      </w:r>
    </w:p>
    <w:p w14:paraId="68E57DAB" w14:textId="77777777" w:rsidR="00304966" w:rsidRDefault="00304966" w:rsidP="00F568D6">
      <w:pPr>
        <w:spacing w:before="0" w:after="160" w:line="259" w:lineRule="auto"/>
        <w:jc w:val="left"/>
        <w:rPr>
          <w:u w:val="single"/>
          <w:lang w:val="en-GB"/>
        </w:rPr>
      </w:pPr>
    </w:p>
    <w:p w14:paraId="2A079CAD" w14:textId="61E5DCBA"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724967">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147063D" w:rsidR="004A428F" w:rsidRDefault="004A428F" w:rsidP="0026131F">
      <w:pPr>
        <w:spacing w:before="0" w:after="160" w:line="259" w:lineRule="auto"/>
        <w:rPr>
          <w:lang w:val="en-GB"/>
        </w:rPr>
      </w:pPr>
      <w:r>
        <w:rPr>
          <w:lang w:val="en-GB"/>
        </w:rPr>
        <w:t>The following Methodology change</w:t>
      </w:r>
      <w:r w:rsidR="00A64163" w:rsidRPr="00724967">
        <w:rPr>
          <w:lang w:val="en-GB"/>
        </w:rPr>
        <w:t>s</w:t>
      </w:r>
      <w:r>
        <w:rPr>
          <w:lang w:val="en-GB"/>
        </w:rPr>
        <w:t xml:space="preserve"> </w:t>
      </w:r>
      <w:r w:rsidRPr="00724967">
        <w:rPr>
          <w:lang w:val="en-GB"/>
        </w:rPr>
        <w:t>are</w:t>
      </w:r>
      <w:r>
        <w:rPr>
          <w:lang w:val="en-GB"/>
        </w:rPr>
        <w:t xml:space="preserve"> proposed in the following point</w:t>
      </w:r>
      <w:r w:rsidR="00A64163" w:rsidRPr="00724967">
        <w:rPr>
          <w:lang w:val="en-GB"/>
        </w:rPr>
        <w:t>s</w:t>
      </w:r>
      <w:r w:rsidR="00A64163" w:rsidRPr="0026131F" w:rsidDel="00C77B4F">
        <w:rPr>
          <w:lang w:val="en-GB"/>
        </w:rPr>
        <w:t xml:space="preserve"> </w:t>
      </w:r>
      <w:r w:rsidR="00C32515">
        <w:rPr>
          <w:lang w:val="en-GB"/>
        </w:rPr>
        <w:t xml:space="preserve">of the Index Guideline </w:t>
      </w:r>
      <w:r>
        <w:rPr>
          <w:lang w:val="en-GB"/>
        </w:rPr>
        <w:t>(ordered in accordance with the numbering of the affected sections):</w:t>
      </w:r>
    </w:p>
    <w:p w14:paraId="6B1CAB0B" w14:textId="77777777" w:rsidR="005301A2" w:rsidRDefault="005301A2" w:rsidP="0026131F">
      <w:pPr>
        <w:spacing w:before="0" w:after="160" w:line="259" w:lineRule="auto"/>
        <w:rPr>
          <w:lang w:val="en-GB"/>
        </w:rPr>
      </w:pPr>
    </w:p>
    <w:p w14:paraId="5891F6BB" w14:textId="4DEEEA82" w:rsidR="005301A2" w:rsidRDefault="005301A2" w:rsidP="005301A2">
      <w:pPr>
        <w:pStyle w:val="Heading2"/>
        <w:rPr>
          <w:lang w:val="en-GB"/>
        </w:rPr>
      </w:pPr>
      <w:r>
        <w:rPr>
          <w:lang w:val="en-GB"/>
        </w:rPr>
        <w:t>Section 2.1 Index Universe Requirements</w:t>
      </w:r>
    </w:p>
    <w:p w14:paraId="53F45367" w14:textId="77777777" w:rsidR="005301A2" w:rsidRPr="005301A2" w:rsidRDefault="005301A2" w:rsidP="00724967">
      <w:pPr>
        <w:rPr>
          <w:lang w:val="en-GB"/>
        </w:rPr>
      </w:pPr>
    </w:p>
    <w:p w14:paraId="7FF2B50C" w14:textId="0FC33041" w:rsidR="005301A2" w:rsidRPr="00724967" w:rsidRDefault="005301A2" w:rsidP="0026131F">
      <w:pPr>
        <w:spacing w:before="0" w:after="160" w:line="259" w:lineRule="auto"/>
        <w:rPr>
          <w:i/>
          <w:iCs/>
          <w:lang w:val="en-GB"/>
        </w:rPr>
      </w:pPr>
      <w:r w:rsidRPr="00724967">
        <w:rPr>
          <w:i/>
          <w:iCs/>
          <w:lang w:val="en-GB"/>
        </w:rPr>
        <w:t>From:</w:t>
      </w:r>
    </w:p>
    <w:p w14:paraId="51FB74F9" w14:textId="79FDDC9E" w:rsidR="005301A2" w:rsidRDefault="005301A2" w:rsidP="0026131F">
      <w:pPr>
        <w:spacing w:before="0" w:after="160" w:line="259" w:lineRule="auto"/>
        <w:rPr>
          <w:lang w:val="en-GB"/>
        </w:rPr>
      </w:pPr>
      <w:r>
        <w:rPr>
          <w:lang w:val="en-GB"/>
        </w:rPr>
        <w:t>[…]</w:t>
      </w:r>
    </w:p>
    <w:p w14:paraId="7A83DDE8" w14:textId="77777777" w:rsidR="005301A2" w:rsidRPr="00F23A1C" w:rsidRDefault="005301A2" w:rsidP="005301A2">
      <w:pPr>
        <w:pStyle w:val="ListParagraph"/>
        <w:numPr>
          <w:ilvl w:val="0"/>
          <w:numId w:val="22"/>
        </w:numPr>
        <w:jc w:val="left"/>
        <w:rPr>
          <w:lang w:val="en-US" w:eastAsia="en-US"/>
        </w:rPr>
      </w:pPr>
      <w:r w:rsidRPr="00F23A1C">
        <w:rPr>
          <w:lang w:val="en-US" w:eastAsia="en-US"/>
        </w:rPr>
        <w:t>Securities with</w:t>
      </w:r>
      <w:r>
        <w:rPr>
          <w:lang w:val="en-US" w:eastAsia="en-US"/>
        </w:rPr>
        <w:t xml:space="preserve"> above average </w:t>
      </w:r>
      <w:r w:rsidRPr="00F23A1C">
        <w:rPr>
          <w:lang w:val="en-US" w:eastAsia="en-US"/>
        </w:rPr>
        <w:t xml:space="preserve">Return on Tangible Equity, Solvency Ratio, and Credit Rating if they are in </w:t>
      </w:r>
      <w:proofErr w:type="gramStart"/>
      <w:r w:rsidRPr="00F23A1C">
        <w:rPr>
          <w:lang w:val="en-US" w:eastAsia="en-US"/>
        </w:rPr>
        <w:t>Financial</w:t>
      </w:r>
      <w:proofErr w:type="gramEnd"/>
      <w:r w:rsidRPr="00F23A1C">
        <w:rPr>
          <w:lang w:val="en-US" w:eastAsia="en-US"/>
        </w:rPr>
        <w:t xml:space="preserve"> sectors, including Bank and Insurance.</w:t>
      </w:r>
    </w:p>
    <w:p w14:paraId="26B5FEC8" w14:textId="77777777" w:rsidR="005301A2" w:rsidRPr="005301A2" w:rsidRDefault="005301A2" w:rsidP="00724967">
      <w:pPr>
        <w:rPr>
          <w:lang w:val="en-US" w:eastAsia="en-US"/>
        </w:rPr>
      </w:pPr>
      <w:r w:rsidRPr="005301A2">
        <w:rPr>
          <w:lang w:val="en-US" w:eastAsia="en-US"/>
        </w:rPr>
        <w:t xml:space="preserve">The </w:t>
      </w:r>
      <w:r w:rsidRPr="005301A2">
        <w:rPr>
          <w:smallCaps/>
          <w:lang w:val="en-US" w:eastAsia="en-US"/>
        </w:rPr>
        <w:t>Approval Committee</w:t>
      </w:r>
      <w:r w:rsidRPr="005301A2">
        <w:rPr>
          <w:lang w:val="en-US" w:eastAsia="en-US"/>
        </w:rPr>
        <w:t xml:space="preserve"> has the authority on each </w:t>
      </w:r>
      <w:r w:rsidRPr="005301A2">
        <w:rPr>
          <w:smallCaps/>
          <w:lang w:val="en-US" w:eastAsia="en-US"/>
        </w:rPr>
        <w:t>Selection Day</w:t>
      </w:r>
      <w:r w:rsidRPr="005301A2">
        <w:rPr>
          <w:lang w:val="en-US" w:eastAsia="en-US"/>
        </w:rPr>
        <w:t xml:space="preserve"> to include and/or exclude securities that fulfill </w:t>
      </w:r>
      <w:r w:rsidRPr="005301A2">
        <w:rPr>
          <w:lang w:val="en-US"/>
        </w:rPr>
        <w:t xml:space="preserve">the </w:t>
      </w:r>
      <w:r w:rsidRPr="005301A2">
        <w:rPr>
          <w:smallCaps/>
          <w:lang w:val="en-US"/>
        </w:rPr>
        <w:t>Index Universe Requirements</w:t>
      </w:r>
      <w:r w:rsidRPr="005301A2">
        <w:rPr>
          <w:lang w:val="en-US"/>
        </w:rPr>
        <w:t xml:space="preserve"> (as specified in Section 2.1).</w:t>
      </w:r>
    </w:p>
    <w:p w14:paraId="726F4B21" w14:textId="77777777" w:rsidR="005301A2" w:rsidRPr="00724967" w:rsidRDefault="005301A2" w:rsidP="0026131F">
      <w:pPr>
        <w:spacing w:before="0" w:after="160" w:line="259" w:lineRule="auto"/>
        <w:rPr>
          <w:lang w:val="en-US"/>
        </w:rPr>
      </w:pPr>
    </w:p>
    <w:p w14:paraId="72217AE7" w14:textId="55C896FB" w:rsidR="005301A2" w:rsidRDefault="005301A2" w:rsidP="0026131F">
      <w:pPr>
        <w:spacing w:before="0" w:after="160" w:line="259" w:lineRule="auto"/>
        <w:rPr>
          <w:lang w:val="en-GB"/>
        </w:rPr>
      </w:pPr>
      <w:r>
        <w:rPr>
          <w:lang w:val="en-GB"/>
        </w:rPr>
        <w:t>[…]</w:t>
      </w:r>
    </w:p>
    <w:p w14:paraId="4B4D097E" w14:textId="29FE1B30" w:rsidR="005301A2" w:rsidRPr="00724967" w:rsidRDefault="005301A2" w:rsidP="0026131F">
      <w:pPr>
        <w:spacing w:before="0" w:after="160" w:line="259" w:lineRule="auto"/>
        <w:rPr>
          <w:i/>
          <w:iCs/>
          <w:lang w:val="en-GB"/>
        </w:rPr>
      </w:pPr>
      <w:r w:rsidRPr="00724967">
        <w:rPr>
          <w:i/>
          <w:iCs/>
          <w:lang w:val="en-GB"/>
        </w:rPr>
        <w:lastRenderedPageBreak/>
        <w:t>To:</w:t>
      </w:r>
    </w:p>
    <w:p w14:paraId="04279040" w14:textId="029A0C98" w:rsidR="005301A2" w:rsidRDefault="005301A2" w:rsidP="0026131F">
      <w:pPr>
        <w:spacing w:before="0" w:after="160" w:line="259" w:lineRule="auto"/>
        <w:rPr>
          <w:lang w:val="en-GB"/>
        </w:rPr>
      </w:pPr>
      <w:r>
        <w:rPr>
          <w:lang w:val="en-GB"/>
        </w:rPr>
        <w:t>[…]</w:t>
      </w:r>
    </w:p>
    <w:p w14:paraId="206C425A" w14:textId="77777777" w:rsidR="005301A2" w:rsidRPr="00F23A1C" w:rsidRDefault="005301A2" w:rsidP="005301A2">
      <w:pPr>
        <w:pStyle w:val="ListParagraph"/>
        <w:numPr>
          <w:ilvl w:val="0"/>
          <w:numId w:val="22"/>
        </w:numPr>
        <w:jc w:val="left"/>
        <w:rPr>
          <w:lang w:val="en-US" w:eastAsia="en-US"/>
        </w:rPr>
      </w:pPr>
      <w:r w:rsidRPr="00F23A1C">
        <w:rPr>
          <w:lang w:val="en-US" w:eastAsia="en-US"/>
        </w:rPr>
        <w:t>Securities with</w:t>
      </w:r>
      <w:r>
        <w:rPr>
          <w:lang w:val="en-US" w:eastAsia="en-US"/>
        </w:rPr>
        <w:t xml:space="preserve"> above average </w:t>
      </w:r>
      <w:r w:rsidRPr="00F23A1C">
        <w:rPr>
          <w:lang w:val="en-US" w:eastAsia="en-US"/>
        </w:rPr>
        <w:t xml:space="preserve">Return on Tangible Equity, Solvency Ratio, and Credit Rating if they are in </w:t>
      </w:r>
      <w:proofErr w:type="gramStart"/>
      <w:r w:rsidRPr="00F23A1C">
        <w:rPr>
          <w:lang w:val="en-US" w:eastAsia="en-US"/>
        </w:rPr>
        <w:t>Financial</w:t>
      </w:r>
      <w:proofErr w:type="gramEnd"/>
      <w:r w:rsidRPr="00F23A1C">
        <w:rPr>
          <w:lang w:val="en-US" w:eastAsia="en-US"/>
        </w:rPr>
        <w:t xml:space="preserve"> sectors, including Bank and Insurance.</w:t>
      </w:r>
    </w:p>
    <w:p w14:paraId="743A3C00" w14:textId="77777777" w:rsidR="005301A2" w:rsidRPr="00FC7C6F" w:rsidRDefault="005301A2" w:rsidP="005301A2">
      <w:pPr>
        <w:pStyle w:val="ListParagraph"/>
        <w:numPr>
          <w:ilvl w:val="0"/>
          <w:numId w:val="22"/>
        </w:numPr>
        <w:jc w:val="left"/>
        <w:rPr>
          <w:lang w:val="en-US" w:eastAsia="en-US"/>
        </w:rPr>
      </w:pPr>
      <w:r>
        <w:rPr>
          <w:lang w:val="en-US" w:eastAsia="en-US"/>
        </w:rPr>
        <w:t xml:space="preserve">Securities with </w:t>
      </w:r>
      <w:proofErr w:type="gramStart"/>
      <w:r>
        <w:rPr>
          <w:lang w:val="en-US" w:eastAsia="en-US"/>
        </w:rPr>
        <w:t>country</w:t>
      </w:r>
      <w:proofErr w:type="gramEnd"/>
      <w:r>
        <w:rPr>
          <w:lang w:val="en-US" w:eastAsia="en-US"/>
        </w:rPr>
        <w:t xml:space="preserve"> of domicile classified as </w:t>
      </w:r>
      <w:r>
        <w:rPr>
          <w:smallCaps/>
          <w:lang w:val="en-US" w:eastAsia="en-US"/>
        </w:rPr>
        <w:t>Emerging Markets</w:t>
      </w:r>
      <w:r>
        <w:rPr>
          <w:lang w:val="en-US" w:eastAsia="en-US"/>
        </w:rPr>
        <w:t xml:space="preserve"> that show outstanding </w:t>
      </w:r>
      <w:r>
        <w:rPr>
          <w:smallCaps/>
          <w:lang w:val="en-US"/>
        </w:rPr>
        <w:t xml:space="preserve">Combined Ratio </w:t>
      </w:r>
      <w:r>
        <w:rPr>
          <w:lang w:val="en-US" w:eastAsia="en-US"/>
        </w:rPr>
        <w:t>and</w:t>
      </w:r>
      <w:r>
        <w:rPr>
          <w:smallCaps/>
          <w:lang w:val="en-US"/>
        </w:rPr>
        <w:t xml:space="preserve"> Margin of Safety</w:t>
      </w:r>
      <w:r>
        <w:rPr>
          <w:lang w:val="en-US" w:eastAsia="en-US"/>
        </w:rPr>
        <w:t>.</w:t>
      </w:r>
    </w:p>
    <w:p w14:paraId="791CCCE0" w14:textId="77777777" w:rsidR="005301A2" w:rsidRPr="00AC2AE1" w:rsidRDefault="005301A2" w:rsidP="005301A2">
      <w:pPr>
        <w:pStyle w:val="ListParagraph"/>
        <w:numPr>
          <w:ilvl w:val="0"/>
          <w:numId w:val="22"/>
        </w:numPr>
        <w:jc w:val="left"/>
        <w:rPr>
          <w:lang w:val="en-US" w:eastAsia="en-US"/>
        </w:rPr>
      </w:pPr>
      <w:r w:rsidRPr="00421FC1">
        <w:rPr>
          <w:lang w:val="en-US" w:eastAsia="en-US"/>
        </w:rPr>
        <w:t>Securities classified as "</w:t>
      </w:r>
      <w:r>
        <w:rPr>
          <w:lang w:val="en-US" w:eastAsia="en-US"/>
        </w:rPr>
        <w:t>S</w:t>
      </w:r>
      <w:r w:rsidRPr="00421FC1">
        <w:rPr>
          <w:lang w:val="en-US" w:eastAsia="en-US"/>
        </w:rPr>
        <w:t xml:space="preserve">uper </w:t>
      </w:r>
      <w:r>
        <w:rPr>
          <w:lang w:val="en-US" w:eastAsia="en-US"/>
        </w:rPr>
        <w:t>G</w:t>
      </w:r>
      <w:r w:rsidRPr="00421FC1">
        <w:rPr>
          <w:lang w:val="en-US" w:eastAsia="en-US"/>
        </w:rPr>
        <w:t>rowers"</w:t>
      </w:r>
      <w:r>
        <w:rPr>
          <w:lang w:val="en-US" w:eastAsia="en-US"/>
        </w:rPr>
        <w:t>,</w:t>
      </w:r>
      <w:r w:rsidRPr="00421FC1">
        <w:rPr>
          <w:lang w:val="en-US" w:eastAsia="en-US"/>
        </w:rPr>
        <w:t xml:space="preserve"> defined as securities with an expected revenue growth of at least 20% over the next 5 years or at least 15% over the next 10 years, while demonstrating current positive Free Cash Flow (FCF).</w:t>
      </w:r>
    </w:p>
    <w:p w14:paraId="25D66D9A" w14:textId="5129C4C7" w:rsidR="005301A2" w:rsidRPr="00724967" w:rsidRDefault="005301A2" w:rsidP="00724967">
      <w:pPr>
        <w:rPr>
          <w:lang w:val="en-US" w:eastAsia="en-US"/>
        </w:rPr>
      </w:pPr>
      <w:r w:rsidRPr="005301A2">
        <w:rPr>
          <w:lang w:val="en-US" w:eastAsia="en-US"/>
        </w:rPr>
        <w:t xml:space="preserve">The </w:t>
      </w:r>
      <w:r w:rsidRPr="005301A2">
        <w:rPr>
          <w:smallCaps/>
          <w:lang w:val="en-US" w:eastAsia="en-US"/>
        </w:rPr>
        <w:t>Approval Committee</w:t>
      </w:r>
      <w:r w:rsidRPr="005301A2">
        <w:rPr>
          <w:lang w:val="en-US" w:eastAsia="en-US"/>
        </w:rPr>
        <w:t xml:space="preserve"> has the authority on each </w:t>
      </w:r>
      <w:r w:rsidRPr="005301A2">
        <w:rPr>
          <w:smallCaps/>
          <w:lang w:val="en-US" w:eastAsia="en-US"/>
        </w:rPr>
        <w:t>Selection Day</w:t>
      </w:r>
      <w:r w:rsidRPr="005301A2">
        <w:rPr>
          <w:lang w:val="en-US" w:eastAsia="en-US"/>
        </w:rPr>
        <w:t xml:space="preserve"> to include and/or exclude securities that fulfill </w:t>
      </w:r>
      <w:r w:rsidRPr="005301A2">
        <w:rPr>
          <w:lang w:val="en-US"/>
        </w:rPr>
        <w:t xml:space="preserve">the </w:t>
      </w:r>
      <w:r w:rsidRPr="005301A2">
        <w:rPr>
          <w:smallCaps/>
          <w:lang w:val="en-US"/>
        </w:rPr>
        <w:t>Index Universe Requirements</w:t>
      </w:r>
      <w:r w:rsidRPr="005301A2">
        <w:rPr>
          <w:lang w:val="en-US"/>
        </w:rPr>
        <w:t xml:space="preserve"> (as specified in Section 2.1).</w:t>
      </w:r>
    </w:p>
    <w:p w14:paraId="080D7C3D" w14:textId="5B40BFF3" w:rsidR="005301A2" w:rsidRDefault="005301A2" w:rsidP="0026131F">
      <w:pPr>
        <w:spacing w:before="0" w:after="160" w:line="259" w:lineRule="auto"/>
        <w:rPr>
          <w:lang w:val="en-US"/>
        </w:rPr>
      </w:pPr>
      <w:r>
        <w:rPr>
          <w:lang w:val="en-US"/>
        </w:rPr>
        <w:t>[…]</w:t>
      </w:r>
    </w:p>
    <w:p w14:paraId="36978697" w14:textId="77777777" w:rsidR="005301A2" w:rsidRPr="00724967" w:rsidRDefault="005301A2" w:rsidP="0026131F">
      <w:pPr>
        <w:spacing w:before="0" w:after="160" w:line="259" w:lineRule="auto"/>
        <w:rPr>
          <w:lang w:val="en-US"/>
        </w:rPr>
      </w:pPr>
    </w:p>
    <w:p w14:paraId="40314A1F" w14:textId="72045C0C" w:rsidR="005301A2" w:rsidRDefault="005301A2" w:rsidP="0026131F">
      <w:pPr>
        <w:spacing w:before="0" w:after="160" w:line="259" w:lineRule="auto"/>
        <w:rPr>
          <w:lang w:val="en-GB"/>
        </w:rPr>
      </w:pPr>
      <w:r>
        <w:rPr>
          <w:lang w:val="en-GB"/>
        </w:rPr>
        <w:t xml:space="preserve">We allow the Selection Party to include EM listed securities if they show outstanding performances, in accordance with the scope of the Index. </w:t>
      </w:r>
      <w:r w:rsidR="00724967">
        <w:rPr>
          <w:lang w:val="en-GB"/>
        </w:rPr>
        <w:t xml:space="preserve">We also give the opportunity to the Selection Party to include “Super Growers”. </w:t>
      </w:r>
    </w:p>
    <w:p w14:paraId="5465C1EE" w14:textId="77777777" w:rsidR="005301A2" w:rsidRDefault="005301A2" w:rsidP="0026131F">
      <w:pPr>
        <w:spacing w:before="0" w:after="160" w:line="259" w:lineRule="auto"/>
        <w:rPr>
          <w:lang w:val="en-GB"/>
        </w:rPr>
      </w:pPr>
    </w:p>
    <w:p w14:paraId="3BD4C5C5" w14:textId="08F38983" w:rsidR="005301A2" w:rsidRDefault="005301A2" w:rsidP="00724967">
      <w:pPr>
        <w:pStyle w:val="Heading2"/>
        <w:rPr>
          <w:lang w:val="en-GB"/>
        </w:rPr>
      </w:pPr>
      <w:r>
        <w:rPr>
          <w:lang w:val="en-GB"/>
        </w:rPr>
        <w:t>Section 2.2 Selection of the Index Components</w:t>
      </w:r>
    </w:p>
    <w:p w14:paraId="47190D28" w14:textId="77777777" w:rsidR="005301A2" w:rsidRDefault="005301A2" w:rsidP="0026131F">
      <w:pPr>
        <w:spacing w:before="0" w:after="160" w:line="259" w:lineRule="auto"/>
        <w:rPr>
          <w:lang w:val="en-GB"/>
        </w:rPr>
      </w:pPr>
    </w:p>
    <w:p w14:paraId="04D08F55" w14:textId="36A20AAB" w:rsidR="005301A2" w:rsidRPr="00724967" w:rsidRDefault="005301A2" w:rsidP="0026131F">
      <w:pPr>
        <w:spacing w:before="0" w:after="160" w:line="259" w:lineRule="auto"/>
        <w:rPr>
          <w:i/>
          <w:iCs/>
          <w:lang w:val="en-GB"/>
        </w:rPr>
      </w:pPr>
      <w:r w:rsidRPr="00724967">
        <w:rPr>
          <w:i/>
          <w:iCs/>
          <w:lang w:val="en-GB"/>
        </w:rPr>
        <w:t>From:</w:t>
      </w:r>
    </w:p>
    <w:p w14:paraId="3FD61F25" w14:textId="09FFAD17" w:rsidR="005301A2" w:rsidRDefault="005301A2" w:rsidP="0026131F">
      <w:pPr>
        <w:spacing w:before="0" w:after="160" w:line="259" w:lineRule="auto"/>
        <w:rPr>
          <w:lang w:val="en-GB"/>
        </w:rPr>
      </w:pPr>
      <w:r>
        <w:rPr>
          <w:lang w:val="en-GB"/>
        </w:rPr>
        <w:t>[…]</w:t>
      </w:r>
    </w:p>
    <w:p w14:paraId="74D4A552" w14:textId="77777777" w:rsidR="005301A2" w:rsidRDefault="005301A2" w:rsidP="005301A2">
      <w:pPr>
        <w:ind w:left="708"/>
        <w:rPr>
          <w:lang w:val="en-US"/>
        </w:rPr>
      </w:pPr>
      <w:r w:rsidRPr="00F673BC">
        <w:rPr>
          <w:lang w:val="en-US"/>
        </w:rPr>
        <w:t>Ultimately, securities that meet the following criteria are eligible for inclusion</w:t>
      </w:r>
      <w:r>
        <w:rPr>
          <w:lang w:val="en-US"/>
        </w:rPr>
        <w:t>:</w:t>
      </w:r>
    </w:p>
    <w:p w14:paraId="1CD73A8B" w14:textId="77777777" w:rsidR="005301A2" w:rsidRPr="00E40921" w:rsidRDefault="005301A2" w:rsidP="005301A2">
      <w:pPr>
        <w:pStyle w:val="ListParagraph"/>
        <w:numPr>
          <w:ilvl w:val="0"/>
          <w:numId w:val="23"/>
        </w:numPr>
        <w:rPr>
          <w:lang w:val="en-US"/>
        </w:rPr>
      </w:pPr>
      <w:r>
        <w:rPr>
          <w:lang w:val="en-US"/>
        </w:rPr>
        <w:t>A</w:t>
      </w:r>
      <w:r w:rsidRPr="00E40921">
        <w:rPr>
          <w:lang w:val="en-US"/>
        </w:rPr>
        <w:t xml:space="preserve"> </w:t>
      </w:r>
      <w:r w:rsidRPr="00E40921">
        <w:rPr>
          <w:smallCaps/>
          <w:lang w:val="en-US"/>
        </w:rPr>
        <w:t xml:space="preserve">Combined Ratio </w:t>
      </w:r>
      <w:r w:rsidRPr="00E40921">
        <w:rPr>
          <w:lang w:val="en-US"/>
        </w:rPr>
        <w:t>equal to or larger than 3</w:t>
      </w:r>
      <w:r>
        <w:rPr>
          <w:lang w:val="en-US"/>
        </w:rPr>
        <w:t>.</w:t>
      </w:r>
    </w:p>
    <w:p w14:paraId="07EDB4CD" w14:textId="77777777" w:rsidR="005301A2" w:rsidRDefault="005301A2" w:rsidP="005301A2">
      <w:pPr>
        <w:pStyle w:val="ListParagraph"/>
        <w:numPr>
          <w:ilvl w:val="0"/>
          <w:numId w:val="23"/>
        </w:numPr>
        <w:rPr>
          <w:lang w:val="en-US"/>
        </w:rPr>
      </w:pPr>
      <w:r w:rsidRPr="00E40921">
        <w:rPr>
          <w:lang w:val="en-US"/>
        </w:rPr>
        <w:t>A</w:t>
      </w:r>
      <w:r w:rsidRPr="00E40921">
        <w:rPr>
          <w:smallCaps/>
          <w:lang w:val="en-US"/>
        </w:rPr>
        <w:t xml:space="preserve"> Margin of Safety</w:t>
      </w:r>
      <w:r w:rsidRPr="00E40921">
        <w:rPr>
          <w:lang w:val="en-US"/>
        </w:rPr>
        <w:t xml:space="preserve"> equal to or larger than 20%</w:t>
      </w:r>
      <w:r>
        <w:rPr>
          <w:lang w:val="en-US"/>
        </w:rPr>
        <w:t>.</w:t>
      </w:r>
      <w:r w:rsidRPr="00E40921">
        <w:rPr>
          <w:lang w:val="en-US"/>
        </w:rPr>
        <w:t xml:space="preserve"> </w:t>
      </w:r>
    </w:p>
    <w:p w14:paraId="154910E2" w14:textId="448A21FB" w:rsidR="005301A2" w:rsidRPr="00724967" w:rsidRDefault="005301A2" w:rsidP="00724967">
      <w:pPr>
        <w:pStyle w:val="ListParagraph"/>
        <w:numPr>
          <w:ilvl w:val="0"/>
          <w:numId w:val="23"/>
        </w:numPr>
        <w:jc w:val="left"/>
        <w:rPr>
          <w:lang w:val="en-US"/>
        </w:rPr>
      </w:pPr>
      <w:r w:rsidRPr="00F673BC">
        <w:rPr>
          <w:lang w:val="en-US"/>
        </w:rPr>
        <w:t>Double-digit growth in Free Cash Flow over a period of seven to ten years or high single-digit growth over more than ten years.</w:t>
      </w:r>
    </w:p>
    <w:p w14:paraId="333C08E4" w14:textId="77777777" w:rsidR="005301A2" w:rsidRDefault="005301A2" w:rsidP="0026131F">
      <w:pPr>
        <w:spacing w:before="0" w:after="160" w:line="259" w:lineRule="auto"/>
        <w:rPr>
          <w:lang w:val="en-GB"/>
        </w:rPr>
      </w:pPr>
    </w:p>
    <w:p w14:paraId="6524D698" w14:textId="48DD8F0F" w:rsidR="005301A2" w:rsidRPr="00724967" w:rsidRDefault="005301A2" w:rsidP="0026131F">
      <w:pPr>
        <w:spacing w:before="0" w:after="160" w:line="259" w:lineRule="auto"/>
        <w:rPr>
          <w:i/>
          <w:iCs/>
          <w:lang w:val="en-GB"/>
        </w:rPr>
      </w:pPr>
      <w:r w:rsidRPr="00724967">
        <w:rPr>
          <w:i/>
          <w:iCs/>
          <w:lang w:val="en-GB"/>
        </w:rPr>
        <w:t>To:</w:t>
      </w:r>
    </w:p>
    <w:p w14:paraId="190A7346" w14:textId="6F6E7D22" w:rsidR="005301A2" w:rsidRDefault="005301A2" w:rsidP="0026131F">
      <w:pPr>
        <w:spacing w:before="0" w:after="160" w:line="259" w:lineRule="auto"/>
        <w:rPr>
          <w:lang w:val="en-GB"/>
        </w:rPr>
      </w:pPr>
      <w:r>
        <w:rPr>
          <w:lang w:val="en-GB"/>
        </w:rPr>
        <w:t>[…]</w:t>
      </w:r>
    </w:p>
    <w:p w14:paraId="669E3E0E" w14:textId="77777777" w:rsidR="005301A2" w:rsidRDefault="005301A2" w:rsidP="005301A2">
      <w:pPr>
        <w:ind w:left="708"/>
        <w:rPr>
          <w:lang w:val="en-US"/>
        </w:rPr>
      </w:pPr>
      <w:r w:rsidRPr="00F673BC">
        <w:rPr>
          <w:lang w:val="en-US"/>
        </w:rPr>
        <w:t>Ultimately, securities that meet the following criteria are eligible for inclusion</w:t>
      </w:r>
      <w:r>
        <w:rPr>
          <w:lang w:val="en-US"/>
        </w:rPr>
        <w:t>:</w:t>
      </w:r>
    </w:p>
    <w:p w14:paraId="5FBF7D0B" w14:textId="77777777" w:rsidR="005301A2" w:rsidRPr="00E40921" w:rsidRDefault="005301A2" w:rsidP="005301A2">
      <w:pPr>
        <w:pStyle w:val="ListParagraph"/>
        <w:numPr>
          <w:ilvl w:val="0"/>
          <w:numId w:val="23"/>
        </w:numPr>
        <w:rPr>
          <w:lang w:val="en-US"/>
        </w:rPr>
      </w:pPr>
      <w:r>
        <w:rPr>
          <w:lang w:val="en-US"/>
        </w:rPr>
        <w:t>A</w:t>
      </w:r>
      <w:r w:rsidRPr="00E40921">
        <w:rPr>
          <w:lang w:val="en-US"/>
        </w:rPr>
        <w:t xml:space="preserve"> </w:t>
      </w:r>
      <w:r w:rsidRPr="00E40921">
        <w:rPr>
          <w:smallCaps/>
          <w:lang w:val="en-US"/>
        </w:rPr>
        <w:t xml:space="preserve">Combined Ratio </w:t>
      </w:r>
      <w:r w:rsidRPr="00E40921">
        <w:rPr>
          <w:lang w:val="en-US"/>
        </w:rPr>
        <w:t>equal to or larger than 3</w:t>
      </w:r>
      <w:r>
        <w:rPr>
          <w:lang w:val="en-US"/>
        </w:rPr>
        <w:t>.</w:t>
      </w:r>
    </w:p>
    <w:p w14:paraId="502D06A8" w14:textId="77777777" w:rsidR="005301A2" w:rsidRDefault="005301A2" w:rsidP="005301A2">
      <w:pPr>
        <w:pStyle w:val="ListParagraph"/>
        <w:numPr>
          <w:ilvl w:val="0"/>
          <w:numId w:val="23"/>
        </w:numPr>
        <w:rPr>
          <w:lang w:val="en-US"/>
        </w:rPr>
      </w:pPr>
      <w:r w:rsidRPr="00E40921">
        <w:rPr>
          <w:lang w:val="en-US"/>
        </w:rPr>
        <w:t>A</w:t>
      </w:r>
      <w:r w:rsidRPr="00E40921">
        <w:rPr>
          <w:smallCaps/>
          <w:lang w:val="en-US"/>
        </w:rPr>
        <w:t xml:space="preserve"> Margin of Safety</w:t>
      </w:r>
      <w:r w:rsidRPr="00E40921">
        <w:rPr>
          <w:lang w:val="en-US"/>
        </w:rPr>
        <w:t xml:space="preserve"> equal to or larger than 20%</w:t>
      </w:r>
      <w:r>
        <w:rPr>
          <w:lang w:val="en-US"/>
        </w:rPr>
        <w:t>.</w:t>
      </w:r>
      <w:r w:rsidRPr="00E40921">
        <w:rPr>
          <w:lang w:val="en-US"/>
        </w:rPr>
        <w:t xml:space="preserve"> </w:t>
      </w:r>
    </w:p>
    <w:p w14:paraId="6A6537F1" w14:textId="77777777" w:rsidR="005301A2" w:rsidRPr="00F673BC" w:rsidRDefault="005301A2" w:rsidP="005301A2">
      <w:pPr>
        <w:pStyle w:val="ListParagraph"/>
        <w:numPr>
          <w:ilvl w:val="0"/>
          <w:numId w:val="23"/>
        </w:numPr>
        <w:jc w:val="left"/>
        <w:rPr>
          <w:lang w:val="en-US"/>
        </w:rPr>
      </w:pPr>
      <w:r w:rsidRPr="00F673BC">
        <w:rPr>
          <w:lang w:val="en-US"/>
        </w:rPr>
        <w:t>Double-digit growth in Free Cash Flow over a period of seven to ten years or high single-digit growth over more than ten years.</w:t>
      </w:r>
    </w:p>
    <w:p w14:paraId="07A4C9E3" w14:textId="77777777" w:rsidR="005301A2" w:rsidRPr="00724967" w:rsidRDefault="005301A2" w:rsidP="0026131F">
      <w:pPr>
        <w:spacing w:before="0" w:after="160" w:line="259" w:lineRule="auto"/>
        <w:rPr>
          <w:lang w:val="en-US"/>
        </w:rPr>
      </w:pPr>
    </w:p>
    <w:p w14:paraId="4781521D" w14:textId="77777777" w:rsidR="005301A2" w:rsidRPr="00F23A1C" w:rsidRDefault="005301A2" w:rsidP="005301A2">
      <w:pPr>
        <w:jc w:val="left"/>
        <w:rPr>
          <w:lang w:val="en-US"/>
        </w:rPr>
      </w:pPr>
      <w:r w:rsidRPr="006D01B4">
        <w:rPr>
          <w:lang w:val="en-US"/>
        </w:rPr>
        <w:t>The Selection Party will select the Index Components among the list of eligible securities that meet the criteria set forth in Section 2.2, incorporating sectoral and geographic diversification imperatives, as well as additional qualitative elements gathered during interviews with the management, industry experts, and the issuer’s customers and suppliers.</w:t>
      </w:r>
    </w:p>
    <w:p w14:paraId="59585AC5" w14:textId="4DD28399" w:rsidR="005301A2" w:rsidRDefault="00F05848" w:rsidP="0026131F">
      <w:pPr>
        <w:spacing w:before="0" w:after="160" w:line="259" w:lineRule="auto"/>
        <w:rPr>
          <w:lang w:val="en-US"/>
        </w:rPr>
      </w:pPr>
      <w:r>
        <w:rPr>
          <w:lang w:val="en-US"/>
        </w:rPr>
        <w:t>[…]</w:t>
      </w:r>
    </w:p>
    <w:p w14:paraId="3F0028B6" w14:textId="77777777" w:rsidR="005301A2" w:rsidRDefault="005301A2" w:rsidP="0026131F">
      <w:pPr>
        <w:spacing w:before="0" w:after="160" w:line="259" w:lineRule="auto"/>
        <w:rPr>
          <w:lang w:val="en-US"/>
        </w:rPr>
      </w:pPr>
    </w:p>
    <w:p w14:paraId="64186EEB" w14:textId="707FE6DE" w:rsidR="00F05848" w:rsidRDefault="00F05848" w:rsidP="0026131F">
      <w:pPr>
        <w:spacing w:before="0" w:after="160" w:line="259" w:lineRule="auto"/>
        <w:rPr>
          <w:lang w:val="en-US"/>
        </w:rPr>
      </w:pPr>
      <w:r>
        <w:rPr>
          <w:lang w:val="en-US"/>
        </w:rPr>
        <w:t xml:space="preserve">We’re detailing the process of the selection party to select the final index constituents. </w:t>
      </w:r>
    </w:p>
    <w:p w14:paraId="1FF9D0BB" w14:textId="77777777" w:rsidR="00F05848" w:rsidRPr="00724967" w:rsidRDefault="00F05848" w:rsidP="0026131F">
      <w:pPr>
        <w:spacing w:before="0" w:after="160" w:line="259" w:lineRule="auto"/>
        <w:rPr>
          <w:lang w:val="en-US"/>
        </w:rPr>
      </w:pPr>
    </w:p>
    <w:p w14:paraId="4A5C6B97" w14:textId="77777777" w:rsidR="005301A2" w:rsidRDefault="005301A2" w:rsidP="00724967">
      <w:pPr>
        <w:pStyle w:val="Heading2"/>
        <w:rPr>
          <w:lang w:val="en-GB"/>
        </w:rPr>
      </w:pPr>
      <w:r>
        <w:rPr>
          <w:lang w:val="en-GB"/>
        </w:rPr>
        <w:t>Section 2.3 Weighting of the Index components</w:t>
      </w:r>
    </w:p>
    <w:p w14:paraId="2F2D35F2" w14:textId="77777777" w:rsidR="005301A2" w:rsidRDefault="005301A2" w:rsidP="0026131F">
      <w:pPr>
        <w:spacing w:before="0" w:after="160" w:line="259" w:lineRule="auto"/>
        <w:rPr>
          <w:lang w:val="en-GB"/>
        </w:rPr>
      </w:pPr>
    </w:p>
    <w:p w14:paraId="440CA3D3" w14:textId="1E78F6B9" w:rsidR="001A3E6B" w:rsidRPr="00724967" w:rsidRDefault="001A3E6B" w:rsidP="0026131F">
      <w:pPr>
        <w:spacing w:before="0" w:after="160" w:line="259" w:lineRule="auto"/>
        <w:rPr>
          <w:i/>
          <w:iCs/>
          <w:lang w:val="en-GB"/>
        </w:rPr>
      </w:pPr>
      <w:r w:rsidRPr="00724967">
        <w:rPr>
          <w:i/>
          <w:iCs/>
          <w:lang w:val="en-GB"/>
        </w:rPr>
        <w:t>From:</w:t>
      </w:r>
    </w:p>
    <w:p w14:paraId="414B0982" w14:textId="10410A13" w:rsidR="001A3E6B" w:rsidRDefault="001A3E6B" w:rsidP="0026131F">
      <w:pPr>
        <w:spacing w:before="0" w:after="160" w:line="259" w:lineRule="auto"/>
        <w:rPr>
          <w:lang w:val="en-GB"/>
        </w:rPr>
      </w:pPr>
      <w:r w:rsidRPr="001A3E6B">
        <w:rPr>
          <w:noProof/>
          <w:lang w:val="en-GB"/>
        </w:rPr>
        <w:drawing>
          <wp:inline distT="0" distB="0" distL="0" distR="0" wp14:anchorId="2A2C4768" wp14:editId="3F086AAF">
            <wp:extent cx="5143946" cy="1996613"/>
            <wp:effectExtent l="0" t="0" r="0" b="3810"/>
            <wp:docPr id="103349359"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359" name="Picture 1" descr="A white paper with black text&#10;&#10;AI-generated content may be incorrect."/>
                    <pic:cNvPicPr/>
                  </pic:nvPicPr>
                  <pic:blipFill>
                    <a:blip r:embed="rId11"/>
                    <a:stretch>
                      <a:fillRect/>
                    </a:stretch>
                  </pic:blipFill>
                  <pic:spPr>
                    <a:xfrm>
                      <a:off x="0" y="0"/>
                      <a:ext cx="5143946" cy="1996613"/>
                    </a:xfrm>
                    <a:prstGeom prst="rect">
                      <a:avLst/>
                    </a:prstGeom>
                  </pic:spPr>
                </pic:pic>
              </a:graphicData>
            </a:graphic>
          </wp:inline>
        </w:drawing>
      </w:r>
    </w:p>
    <w:p w14:paraId="24E11988" w14:textId="3DDFAF75" w:rsidR="001A3E6B" w:rsidRDefault="001A3E6B" w:rsidP="0026131F">
      <w:pPr>
        <w:spacing w:before="0" w:after="160" w:line="259" w:lineRule="auto"/>
        <w:rPr>
          <w:lang w:val="en-GB"/>
        </w:rPr>
      </w:pPr>
      <w:r>
        <w:rPr>
          <w:lang w:val="en-GB"/>
        </w:rPr>
        <w:t>[…]</w:t>
      </w:r>
    </w:p>
    <w:p w14:paraId="404F9407" w14:textId="56287F63" w:rsidR="001A3E6B" w:rsidRPr="00724967" w:rsidRDefault="001A3E6B" w:rsidP="0026131F">
      <w:pPr>
        <w:spacing w:before="0" w:after="160" w:line="259" w:lineRule="auto"/>
        <w:rPr>
          <w:i/>
          <w:iCs/>
          <w:lang w:val="en-GB"/>
        </w:rPr>
      </w:pPr>
      <w:r w:rsidRPr="00724967">
        <w:rPr>
          <w:i/>
          <w:iCs/>
          <w:lang w:val="en-GB"/>
        </w:rPr>
        <w:t>To:</w:t>
      </w:r>
    </w:p>
    <w:p w14:paraId="3ED67311" w14:textId="37A2648F" w:rsidR="001A3E6B" w:rsidRDefault="001A3E6B" w:rsidP="0026131F">
      <w:pPr>
        <w:spacing w:before="0" w:after="160" w:line="259" w:lineRule="auto"/>
        <w:rPr>
          <w:lang w:val="en-GB"/>
        </w:rPr>
      </w:pPr>
      <w:r>
        <w:rPr>
          <w:lang w:val="en-GB"/>
        </w:rPr>
        <w:t>[…]</w:t>
      </w:r>
    </w:p>
    <w:p w14:paraId="1DEF94D3" w14:textId="77777777" w:rsidR="001A3E6B" w:rsidRDefault="001A3E6B" w:rsidP="001A3E6B">
      <w:pPr>
        <w:ind w:left="708"/>
        <w:rPr>
          <w:lang w:val="en-US" w:eastAsia="en-US"/>
        </w:rPr>
      </w:pPr>
      <w:r w:rsidRPr="004C35BA">
        <w:rPr>
          <w:lang w:val="en-US" w:eastAsia="en-US"/>
        </w:rPr>
        <w:t xml:space="preserve">Securities with </w:t>
      </w:r>
      <w:r w:rsidRPr="004C35BA">
        <w:rPr>
          <w:lang w:val="en-US"/>
        </w:rPr>
        <w:t xml:space="preserve">a </w:t>
      </w:r>
      <w:r w:rsidRPr="004C35BA">
        <w:rPr>
          <w:smallCaps/>
          <w:lang w:val="en-US"/>
        </w:rPr>
        <w:t xml:space="preserve">Combined Ratio </w:t>
      </w:r>
      <w:r w:rsidRPr="004C35BA">
        <w:rPr>
          <w:lang w:val="en-US"/>
        </w:rPr>
        <w:t>larger than 4</w:t>
      </w:r>
      <w:r>
        <w:rPr>
          <w:lang w:val="en-US"/>
        </w:rPr>
        <w:t xml:space="preserve"> and </w:t>
      </w:r>
      <w:r w:rsidRPr="004C35BA">
        <w:rPr>
          <w:lang w:val="en-US"/>
        </w:rPr>
        <w:t>a</w:t>
      </w:r>
      <w:r w:rsidRPr="004C35BA">
        <w:rPr>
          <w:smallCaps/>
          <w:lang w:val="en-US"/>
        </w:rPr>
        <w:t xml:space="preserve"> Margin of Safety</w:t>
      </w:r>
      <w:r w:rsidRPr="004C35BA">
        <w:rPr>
          <w:lang w:val="en-US"/>
        </w:rPr>
        <w:t xml:space="preserve"> larger than 30%</w:t>
      </w:r>
      <w:r w:rsidRPr="004C35BA">
        <w:rPr>
          <w:lang w:val="en-US" w:eastAsia="en-US"/>
        </w:rPr>
        <w:t xml:space="preserve">, are </w:t>
      </w:r>
      <w:r>
        <w:rPr>
          <w:lang w:val="en-US" w:eastAsia="en-US"/>
        </w:rPr>
        <w:t>eligible to</w:t>
      </w:r>
      <w:r w:rsidRPr="004C35BA">
        <w:rPr>
          <w:lang w:val="en-US" w:eastAsia="en-US"/>
        </w:rPr>
        <w:t xml:space="preserve"> the </w:t>
      </w:r>
      <w:r w:rsidRPr="004C35BA">
        <w:rPr>
          <w:smallCaps/>
          <w:lang w:val="en-US" w:eastAsia="en-US"/>
        </w:rPr>
        <w:t xml:space="preserve">High Weight Securities </w:t>
      </w:r>
      <w:r>
        <w:rPr>
          <w:smallCaps/>
          <w:lang w:val="en-US" w:eastAsia="en-US"/>
        </w:rPr>
        <w:t>Sliver</w:t>
      </w:r>
      <w:r w:rsidRPr="004C35BA">
        <w:rPr>
          <w:lang w:val="en-US" w:eastAsia="en-US"/>
        </w:rPr>
        <w:t xml:space="preserve"> and receive a weight </w:t>
      </w:r>
      <w:r>
        <w:rPr>
          <w:lang w:val="en-US" w:eastAsia="en-US"/>
        </w:rPr>
        <w:t>between</w:t>
      </w:r>
      <w:r w:rsidRPr="004C35BA">
        <w:rPr>
          <w:lang w:val="en-US" w:eastAsia="en-US"/>
        </w:rPr>
        <w:t xml:space="preserve"> 3% </w:t>
      </w:r>
      <w:r>
        <w:rPr>
          <w:lang w:val="en-US" w:eastAsia="en-US"/>
        </w:rPr>
        <w:t>and</w:t>
      </w:r>
      <w:r w:rsidRPr="004C35BA">
        <w:rPr>
          <w:lang w:val="en-US" w:eastAsia="en-US"/>
        </w:rPr>
        <w:t xml:space="preserve"> </w:t>
      </w:r>
      <w:r>
        <w:rPr>
          <w:lang w:val="en-US" w:eastAsia="en-US"/>
        </w:rPr>
        <w:t>10</w:t>
      </w:r>
      <w:r w:rsidRPr="004C35BA">
        <w:rPr>
          <w:lang w:val="en-US" w:eastAsia="en-US"/>
        </w:rPr>
        <w:t>%</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smallCaps/>
          <w:lang w:val="en-US" w:eastAsia="en-US"/>
        </w:rPr>
        <w:t>.</w:t>
      </w:r>
    </w:p>
    <w:p w14:paraId="0B2D19CE" w14:textId="77777777" w:rsidR="001A3E6B" w:rsidRDefault="001A3E6B" w:rsidP="001A3E6B">
      <w:pPr>
        <w:ind w:left="708"/>
        <w:rPr>
          <w:lang w:val="en-US" w:eastAsia="en-US"/>
        </w:rPr>
      </w:pPr>
      <w:r w:rsidRPr="004C35BA">
        <w:rPr>
          <w:lang w:val="en-US" w:eastAsia="en-US"/>
        </w:rPr>
        <w:t xml:space="preserve">Securities with </w:t>
      </w:r>
      <w:r w:rsidRPr="004C35BA">
        <w:rPr>
          <w:lang w:val="en-US"/>
        </w:rPr>
        <w:t xml:space="preserve">a </w:t>
      </w:r>
      <w:r w:rsidRPr="004C35BA">
        <w:rPr>
          <w:smallCaps/>
          <w:lang w:val="en-US"/>
        </w:rPr>
        <w:t xml:space="preserve">Combined Ratio </w:t>
      </w:r>
      <w:r>
        <w:rPr>
          <w:lang w:val="en-US"/>
        </w:rPr>
        <w:t>equal to</w:t>
      </w:r>
      <w:r w:rsidRPr="004C35BA">
        <w:rPr>
          <w:lang w:val="en-US"/>
        </w:rPr>
        <w:t xml:space="preserve"> </w:t>
      </w:r>
      <w:r>
        <w:rPr>
          <w:lang w:val="en-US"/>
        </w:rPr>
        <w:t xml:space="preserve">3 and </w:t>
      </w:r>
      <w:r w:rsidRPr="004C35BA">
        <w:rPr>
          <w:lang w:val="en-US"/>
        </w:rPr>
        <w:t>a</w:t>
      </w:r>
      <w:r w:rsidRPr="004C35BA">
        <w:rPr>
          <w:smallCaps/>
          <w:lang w:val="en-US"/>
        </w:rPr>
        <w:t xml:space="preserve"> Margin of Safety</w:t>
      </w:r>
      <w:r w:rsidRPr="004C35BA">
        <w:rPr>
          <w:lang w:val="en-US"/>
        </w:rPr>
        <w:t xml:space="preserve"> </w:t>
      </w:r>
      <w:r>
        <w:rPr>
          <w:lang w:val="en-US"/>
        </w:rPr>
        <w:t>equal to</w:t>
      </w:r>
      <w:r w:rsidRPr="004C35BA">
        <w:rPr>
          <w:lang w:val="en-US"/>
        </w:rPr>
        <w:t xml:space="preserve"> </w:t>
      </w:r>
      <w:r>
        <w:rPr>
          <w:lang w:val="en-US"/>
        </w:rPr>
        <w:t>2</w:t>
      </w:r>
      <w:r w:rsidRPr="004C35BA">
        <w:rPr>
          <w:lang w:val="en-US"/>
        </w:rPr>
        <w:t>0%</w:t>
      </w:r>
      <w:r w:rsidRPr="004C35BA">
        <w:rPr>
          <w:lang w:val="en-US" w:eastAsia="en-US"/>
        </w:rPr>
        <w:t xml:space="preserve">, are considered </w:t>
      </w:r>
      <w:r>
        <w:rPr>
          <w:lang w:val="en-US" w:eastAsia="en-US"/>
        </w:rPr>
        <w:t xml:space="preserve">eligible to </w:t>
      </w:r>
      <w:r w:rsidRPr="004C35BA">
        <w:rPr>
          <w:lang w:val="en-US" w:eastAsia="en-US"/>
        </w:rPr>
        <w:t xml:space="preserve">the </w:t>
      </w:r>
      <w:r>
        <w:rPr>
          <w:smallCaps/>
          <w:lang w:val="en-US" w:eastAsia="en-US"/>
        </w:rPr>
        <w:t>Low</w:t>
      </w:r>
      <w:r w:rsidRPr="004C35BA">
        <w:rPr>
          <w:smallCaps/>
          <w:lang w:val="en-US" w:eastAsia="en-US"/>
        </w:rPr>
        <w:t xml:space="preserve"> Weight Securities </w:t>
      </w:r>
      <w:r>
        <w:rPr>
          <w:smallCaps/>
          <w:lang w:val="en-US" w:eastAsia="en-US"/>
        </w:rPr>
        <w:t>Sliver</w:t>
      </w:r>
      <w:r w:rsidRPr="004C35BA">
        <w:rPr>
          <w:lang w:val="en-US" w:eastAsia="en-US"/>
        </w:rPr>
        <w:t xml:space="preserve"> and receive a weight </w:t>
      </w:r>
      <w:r>
        <w:rPr>
          <w:lang w:val="en-US" w:eastAsia="en-US"/>
        </w:rPr>
        <w:t>between</w:t>
      </w:r>
      <w:r w:rsidRPr="004C35BA">
        <w:rPr>
          <w:lang w:val="en-US" w:eastAsia="en-US"/>
        </w:rPr>
        <w:t xml:space="preserve"> </w:t>
      </w:r>
      <w:r>
        <w:rPr>
          <w:lang w:val="en-US" w:eastAsia="en-US"/>
        </w:rPr>
        <w:t>1</w:t>
      </w:r>
      <w:r w:rsidRPr="004C35BA">
        <w:rPr>
          <w:lang w:val="en-US" w:eastAsia="en-US"/>
        </w:rPr>
        <w:t xml:space="preserve">% </w:t>
      </w:r>
      <w:r>
        <w:rPr>
          <w:lang w:val="en-US" w:eastAsia="en-US"/>
        </w:rPr>
        <w:t>and</w:t>
      </w:r>
      <w:r w:rsidRPr="004C35BA">
        <w:rPr>
          <w:lang w:val="en-US" w:eastAsia="en-US"/>
        </w:rPr>
        <w:t xml:space="preserve"> </w:t>
      </w:r>
      <w:r>
        <w:rPr>
          <w:lang w:val="en-US" w:eastAsia="en-US"/>
        </w:rPr>
        <w:t>4</w:t>
      </w:r>
      <w:r w:rsidRPr="004C35BA">
        <w:rPr>
          <w:lang w:val="en-US" w:eastAsia="en-US"/>
        </w:rPr>
        <w:t>%</w:t>
      </w:r>
      <w:r>
        <w:rPr>
          <w:lang w:val="en-US" w:eastAsia="en-US"/>
        </w:rPr>
        <w:t xml:space="preserve"> </w:t>
      </w:r>
      <w:r>
        <w:rPr>
          <w:lang w:val="en-US"/>
        </w:rPr>
        <w:t>by the</w:t>
      </w:r>
      <w:r w:rsidRPr="00F23A1C">
        <w:rPr>
          <w:lang w:val="en-US"/>
        </w:rPr>
        <w:t xml:space="preserve"> </w:t>
      </w:r>
      <w:r w:rsidRPr="0097123A">
        <w:rPr>
          <w:smallCaps/>
          <w:lang w:val="en-US" w:eastAsia="en-US"/>
        </w:rPr>
        <w:t>Approval Committee</w:t>
      </w:r>
      <w:r>
        <w:rPr>
          <w:smallCaps/>
          <w:lang w:val="en-US" w:eastAsia="en-US"/>
        </w:rPr>
        <w:t>.</w:t>
      </w:r>
    </w:p>
    <w:p w14:paraId="2862EACF" w14:textId="654C4938" w:rsidR="001A3E6B" w:rsidRPr="00724967" w:rsidRDefault="001A3E6B" w:rsidP="0026131F">
      <w:pPr>
        <w:spacing w:before="0" w:after="160" w:line="259" w:lineRule="auto"/>
        <w:rPr>
          <w:lang w:val="en-US"/>
        </w:rPr>
      </w:pPr>
      <w:r>
        <w:rPr>
          <w:lang w:val="en-US"/>
        </w:rPr>
        <w:t>[…]</w:t>
      </w:r>
    </w:p>
    <w:p w14:paraId="4ED73481" w14:textId="2695D763" w:rsidR="005301A2" w:rsidRDefault="001A3E6B" w:rsidP="0026131F">
      <w:pPr>
        <w:spacing w:before="0" w:after="160" w:line="259" w:lineRule="auto"/>
        <w:rPr>
          <w:lang w:val="en-GB"/>
        </w:rPr>
      </w:pPr>
      <w:r>
        <w:rPr>
          <w:lang w:val="en-GB"/>
        </w:rPr>
        <w:t xml:space="preserve">We remove the weight capping to reflect the methodology of the selection party in the weighting scheme of the Index. </w:t>
      </w:r>
    </w:p>
    <w:p w14:paraId="5F6A97DA" w14:textId="77777777" w:rsidR="001A3E6B" w:rsidRDefault="001A3E6B" w:rsidP="0026131F">
      <w:pPr>
        <w:spacing w:before="0" w:after="160" w:line="259" w:lineRule="auto"/>
        <w:rPr>
          <w:lang w:val="en-GB"/>
        </w:rPr>
      </w:pPr>
    </w:p>
    <w:p w14:paraId="7F7215E3" w14:textId="2C11CF10" w:rsidR="001A3E6B" w:rsidRDefault="001A3E6B" w:rsidP="00724967">
      <w:pPr>
        <w:pStyle w:val="Heading2"/>
        <w:rPr>
          <w:lang w:val="en-GB"/>
        </w:rPr>
      </w:pPr>
      <w:r>
        <w:rPr>
          <w:lang w:val="en-GB"/>
        </w:rPr>
        <w:t>Section 2.3 Weighting of the Index Components</w:t>
      </w:r>
    </w:p>
    <w:p w14:paraId="14404EE2" w14:textId="77777777" w:rsidR="001A3E6B" w:rsidRDefault="001A3E6B" w:rsidP="0026131F">
      <w:pPr>
        <w:spacing w:before="0" w:after="160" w:line="259" w:lineRule="auto"/>
        <w:rPr>
          <w:lang w:val="en-GB"/>
        </w:rPr>
      </w:pPr>
    </w:p>
    <w:p w14:paraId="0424276E" w14:textId="5CC84794" w:rsidR="001A3E6B" w:rsidRPr="00724967" w:rsidRDefault="001A3E6B" w:rsidP="0026131F">
      <w:pPr>
        <w:spacing w:before="0" w:after="160" w:line="259" w:lineRule="auto"/>
        <w:rPr>
          <w:i/>
          <w:iCs/>
          <w:lang w:val="en-GB"/>
        </w:rPr>
      </w:pPr>
      <w:r w:rsidRPr="00724967">
        <w:rPr>
          <w:i/>
          <w:iCs/>
          <w:lang w:val="en-GB"/>
        </w:rPr>
        <w:t>From:</w:t>
      </w:r>
    </w:p>
    <w:p w14:paraId="5F347E57" w14:textId="1BC01684" w:rsidR="001A3E6B" w:rsidRDefault="001A3E6B" w:rsidP="0026131F">
      <w:pPr>
        <w:spacing w:before="0" w:after="160" w:line="259" w:lineRule="auto"/>
        <w:rPr>
          <w:lang w:val="en-GB"/>
        </w:rPr>
      </w:pPr>
      <w:r>
        <w:rPr>
          <w:lang w:val="en-GB"/>
        </w:rPr>
        <w:t>[…]</w:t>
      </w:r>
    </w:p>
    <w:p w14:paraId="745E7A96" w14:textId="6F91EB4B" w:rsidR="001A3E6B" w:rsidRDefault="001A3E6B" w:rsidP="0026131F">
      <w:pPr>
        <w:spacing w:before="0" w:after="160" w:line="259" w:lineRule="auto"/>
        <w:rPr>
          <w:lang w:val="en-GB"/>
        </w:rPr>
      </w:pPr>
      <w:r w:rsidRPr="001A3E6B">
        <w:rPr>
          <w:noProof/>
          <w:lang w:val="en-GB"/>
        </w:rPr>
        <w:drawing>
          <wp:inline distT="0" distB="0" distL="0" distR="0" wp14:anchorId="4BFC8AEA" wp14:editId="0443255C">
            <wp:extent cx="5311600" cy="2926334"/>
            <wp:effectExtent l="0" t="0" r="3810" b="7620"/>
            <wp:docPr id="868631985"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31985" name="Picture 1" descr="A white text on a black background&#10;&#10;AI-generated content may be incorrect."/>
                    <pic:cNvPicPr/>
                  </pic:nvPicPr>
                  <pic:blipFill>
                    <a:blip r:embed="rId12"/>
                    <a:stretch>
                      <a:fillRect/>
                    </a:stretch>
                  </pic:blipFill>
                  <pic:spPr>
                    <a:xfrm>
                      <a:off x="0" y="0"/>
                      <a:ext cx="5311600" cy="2926334"/>
                    </a:xfrm>
                    <a:prstGeom prst="rect">
                      <a:avLst/>
                    </a:prstGeom>
                  </pic:spPr>
                </pic:pic>
              </a:graphicData>
            </a:graphic>
          </wp:inline>
        </w:drawing>
      </w:r>
    </w:p>
    <w:p w14:paraId="4D8F8520" w14:textId="117916B5" w:rsidR="005301A2" w:rsidRDefault="001A3E6B" w:rsidP="0026131F">
      <w:pPr>
        <w:spacing w:before="0" w:after="160" w:line="259" w:lineRule="auto"/>
        <w:rPr>
          <w:lang w:val="en-GB"/>
        </w:rPr>
      </w:pPr>
      <w:r>
        <w:rPr>
          <w:lang w:val="en-GB"/>
        </w:rPr>
        <w:t>[…]</w:t>
      </w:r>
    </w:p>
    <w:p w14:paraId="2BFD5BC8" w14:textId="77777777" w:rsidR="001A3E6B" w:rsidRDefault="001A3E6B" w:rsidP="0026131F">
      <w:pPr>
        <w:spacing w:before="0" w:after="160" w:line="259" w:lineRule="auto"/>
        <w:rPr>
          <w:lang w:val="en-GB"/>
        </w:rPr>
      </w:pPr>
    </w:p>
    <w:p w14:paraId="4D48756A" w14:textId="003111A9" w:rsidR="001A3E6B" w:rsidRPr="00724967" w:rsidRDefault="001A3E6B" w:rsidP="0026131F">
      <w:pPr>
        <w:spacing w:before="0" w:after="160" w:line="259" w:lineRule="auto"/>
        <w:rPr>
          <w:i/>
          <w:iCs/>
          <w:lang w:val="en-GB"/>
        </w:rPr>
      </w:pPr>
      <w:r w:rsidRPr="00724967">
        <w:rPr>
          <w:i/>
          <w:iCs/>
          <w:lang w:val="en-GB"/>
        </w:rPr>
        <w:t>To:</w:t>
      </w:r>
    </w:p>
    <w:p w14:paraId="221E61DD" w14:textId="743E7160" w:rsidR="001A3E6B" w:rsidRDefault="001A3E6B" w:rsidP="0026131F">
      <w:pPr>
        <w:spacing w:before="0" w:after="160" w:line="259" w:lineRule="auto"/>
        <w:rPr>
          <w:lang w:val="en-GB"/>
        </w:rPr>
      </w:pPr>
      <w:r>
        <w:rPr>
          <w:lang w:val="en-GB"/>
        </w:rPr>
        <w:t>[…]</w:t>
      </w:r>
    </w:p>
    <w:p w14:paraId="7142B033" w14:textId="77777777" w:rsidR="001A3E6B" w:rsidRPr="008349C8" w:rsidRDefault="001A3E6B" w:rsidP="001A3E6B">
      <w:pPr>
        <w:pStyle w:val="ListParagraph"/>
        <w:numPr>
          <w:ilvl w:val="0"/>
          <w:numId w:val="24"/>
        </w:numPr>
        <w:rPr>
          <w:lang w:val="en-US" w:eastAsia="en-US"/>
        </w:rPr>
      </w:pPr>
      <w:r>
        <w:rPr>
          <w:lang w:val="en-US" w:eastAsia="en-US"/>
        </w:rPr>
        <w:t xml:space="preserve">The </w:t>
      </w:r>
      <w:r w:rsidRPr="008349C8">
        <w:rPr>
          <w:smallCaps/>
          <w:lang w:val="en-US"/>
        </w:rPr>
        <w:t>Combined Ratio</w:t>
      </w:r>
      <w:r w:rsidRPr="008349C8">
        <w:rPr>
          <w:lang w:val="en-US" w:eastAsia="en-US"/>
        </w:rPr>
        <w:t xml:space="preserve"> </w:t>
      </w:r>
      <w:r>
        <w:rPr>
          <w:lang w:val="en-US" w:eastAsia="en-US"/>
        </w:rPr>
        <w:t xml:space="preserve">falls </w:t>
      </w:r>
      <w:r w:rsidRPr="008349C8">
        <w:rPr>
          <w:lang w:val="en-US" w:eastAsia="en-US"/>
        </w:rPr>
        <w:t>below 2.5</w:t>
      </w:r>
      <w:r>
        <w:rPr>
          <w:lang w:val="en-US" w:eastAsia="en-US"/>
        </w:rPr>
        <w:t>. In such case, it</w:t>
      </w:r>
      <w:r w:rsidRPr="008349C8">
        <w:rPr>
          <w:lang w:val="en-US" w:eastAsia="en-US"/>
        </w:rPr>
        <w:t xml:space="preserve"> will be excluded</w:t>
      </w:r>
      <w:r>
        <w:rPr>
          <w:lang w:val="en-US" w:eastAsia="en-US"/>
        </w:rPr>
        <w:t xml:space="preserve"> from the list of eligible securities</w:t>
      </w:r>
      <w:r w:rsidRPr="008349C8">
        <w:rPr>
          <w:lang w:val="en-US" w:eastAsia="en-US"/>
        </w:rPr>
        <w:t>.</w:t>
      </w:r>
    </w:p>
    <w:p w14:paraId="266E9452" w14:textId="77777777" w:rsidR="001A3E6B" w:rsidRDefault="001A3E6B" w:rsidP="001A3E6B">
      <w:pPr>
        <w:pStyle w:val="ListParagraph"/>
        <w:ind w:left="0"/>
        <w:rPr>
          <w:lang w:val="en-US" w:eastAsia="en-US"/>
        </w:rPr>
      </w:pPr>
    </w:p>
    <w:p w14:paraId="7B3CCC5A" w14:textId="77777777" w:rsidR="001A3E6B" w:rsidRDefault="001A3E6B" w:rsidP="001A3E6B">
      <w:pPr>
        <w:rPr>
          <w:lang w:val="en-US"/>
        </w:rPr>
      </w:pPr>
      <w:r w:rsidRPr="001065E6">
        <w:rPr>
          <w:lang w:val="en-US"/>
        </w:rPr>
        <w:t xml:space="preserve">The </w:t>
      </w:r>
      <w:r w:rsidRPr="001065E6">
        <w:rPr>
          <w:smallCaps/>
          <w:lang w:val="en-US"/>
        </w:rPr>
        <w:t>Selection Party</w:t>
      </w:r>
      <w:r w:rsidRPr="001065E6">
        <w:rPr>
          <w:lang w:val="en-US"/>
        </w:rPr>
        <w:t xml:space="preserve"> will select the </w:t>
      </w:r>
      <w:r w:rsidRPr="001065E6">
        <w:rPr>
          <w:smallCaps/>
          <w:lang w:val="en-US"/>
        </w:rPr>
        <w:t xml:space="preserve">Index Components </w:t>
      </w:r>
      <w:r w:rsidRPr="001065E6">
        <w:rPr>
          <w:lang w:val="en-US"/>
        </w:rPr>
        <w:t xml:space="preserve">of the </w:t>
      </w:r>
      <w:r w:rsidRPr="001065E6">
        <w:rPr>
          <w:smallCaps/>
          <w:lang w:val="en-US" w:eastAsia="en-US"/>
        </w:rPr>
        <w:t>High Weight Securities Sliver</w:t>
      </w:r>
      <w:r w:rsidRPr="001065E6">
        <w:rPr>
          <w:lang w:val="en-US"/>
        </w:rPr>
        <w:t xml:space="preserve"> and </w:t>
      </w:r>
      <w:r w:rsidRPr="001065E6">
        <w:rPr>
          <w:smallCaps/>
          <w:lang w:val="en-US" w:eastAsia="en-US"/>
        </w:rPr>
        <w:t>Low Weight Securities Sliver</w:t>
      </w:r>
      <w:r w:rsidRPr="001065E6">
        <w:rPr>
          <w:lang w:val="en-US"/>
        </w:rPr>
        <w:t xml:space="preserve"> among the list of eligible securities meeting the criteria set forth in Section 2.3, incorporating sectoral and geographic diversification imperatives, as well as additional qualitative elements gathered during interviews with the management, industry experts, and the issuer’s customers and suppliers</w:t>
      </w:r>
      <w:r>
        <w:rPr>
          <w:lang w:val="en-US"/>
        </w:rPr>
        <w:t>.</w:t>
      </w:r>
    </w:p>
    <w:p w14:paraId="66788C3C" w14:textId="77777777" w:rsidR="001A3E6B" w:rsidRPr="001065E6" w:rsidRDefault="001A3E6B" w:rsidP="001A3E6B">
      <w:pPr>
        <w:rPr>
          <w:lang w:val="en-US"/>
        </w:rPr>
      </w:pPr>
      <w:r w:rsidRPr="001065E6">
        <w:rPr>
          <w:lang w:val="en-US"/>
        </w:rPr>
        <w:t xml:space="preserve">The </w:t>
      </w:r>
      <w:r w:rsidRPr="001065E6">
        <w:rPr>
          <w:smallCaps/>
          <w:lang w:val="en-US"/>
        </w:rPr>
        <w:t>Selection Party</w:t>
      </w:r>
      <w:r w:rsidRPr="001065E6">
        <w:rPr>
          <w:lang w:val="en-US"/>
        </w:rPr>
        <w:t xml:space="preserve"> assigns the weight within the defined range factoring such elements.</w:t>
      </w:r>
    </w:p>
    <w:p w14:paraId="39A8B73C" w14:textId="77777777" w:rsidR="001A3E6B" w:rsidRDefault="001A3E6B" w:rsidP="001A3E6B">
      <w:pPr>
        <w:rPr>
          <w:lang w:val="en-US" w:eastAsia="en-US"/>
        </w:rPr>
      </w:pPr>
      <w:r w:rsidRPr="001065E6">
        <w:rPr>
          <w:lang w:val="en-US" w:eastAsia="en-US"/>
        </w:rPr>
        <w:t xml:space="preserve">In addition, securities that have already been selected as </w:t>
      </w:r>
      <w:r w:rsidRPr="001065E6">
        <w:rPr>
          <w:smallCaps/>
          <w:lang w:val="en-US"/>
        </w:rPr>
        <w:t>Index Components</w:t>
      </w:r>
      <w:r w:rsidRPr="001065E6">
        <w:rPr>
          <w:lang w:val="en-US" w:eastAsia="en-US"/>
        </w:rPr>
        <w:t xml:space="preserve"> (in accordance with Section 2.2) and assigned to either the </w:t>
      </w:r>
      <w:r w:rsidRPr="001065E6">
        <w:rPr>
          <w:smallCaps/>
          <w:lang w:val="en-US"/>
        </w:rPr>
        <w:t>High Weight Securities Sliver</w:t>
      </w:r>
      <w:r w:rsidRPr="001065E6">
        <w:rPr>
          <w:lang w:val="en-US" w:eastAsia="en-US"/>
        </w:rPr>
        <w:t xml:space="preserve"> or </w:t>
      </w:r>
      <w:r w:rsidRPr="001065E6">
        <w:rPr>
          <w:smallCaps/>
          <w:lang w:val="en-US"/>
        </w:rPr>
        <w:t>Low Weight Securities Sliver</w:t>
      </w:r>
      <w:r w:rsidRPr="001065E6">
        <w:rPr>
          <w:lang w:val="en-US" w:eastAsia="en-US"/>
        </w:rPr>
        <w:t xml:space="preserve"> group may have their weight adjusted (increased or decreased) within the respective predefined ranges of 3% to 10% for </w:t>
      </w:r>
      <w:r w:rsidRPr="001065E6">
        <w:rPr>
          <w:smallCaps/>
          <w:lang w:val="en-US"/>
        </w:rPr>
        <w:t>High Weight Securities Sliver</w:t>
      </w:r>
      <w:r w:rsidRPr="001065E6">
        <w:rPr>
          <w:lang w:val="en-US" w:eastAsia="en-US"/>
        </w:rPr>
        <w:t xml:space="preserve"> and 1% to 4% for </w:t>
      </w:r>
      <w:r w:rsidRPr="001065E6">
        <w:rPr>
          <w:smallCaps/>
          <w:lang w:val="en-US"/>
        </w:rPr>
        <w:t>Low Weight Securities Sliver</w:t>
      </w:r>
      <w:r w:rsidRPr="001065E6">
        <w:rPr>
          <w:lang w:val="en-US" w:eastAsia="en-US"/>
        </w:rPr>
        <w:t>.</w:t>
      </w:r>
    </w:p>
    <w:p w14:paraId="188A3FAF" w14:textId="77777777" w:rsidR="001A3E6B" w:rsidRDefault="001A3E6B" w:rsidP="001A3E6B">
      <w:pPr>
        <w:pStyle w:val="ListParagraph"/>
        <w:ind w:left="0"/>
        <w:rPr>
          <w:lang w:val="en-US" w:eastAsia="en-US"/>
        </w:rPr>
      </w:pPr>
      <w:r w:rsidRPr="007E3DBC">
        <w:rPr>
          <w:lang w:val="en-US" w:eastAsia="en-US"/>
        </w:rPr>
        <w:t xml:space="preserve">Should a </w:t>
      </w:r>
      <w:proofErr w:type="gramStart"/>
      <w:r w:rsidRPr="007E3DBC">
        <w:rPr>
          <w:lang w:val="en-US" w:eastAsia="en-US"/>
        </w:rPr>
        <w:t>security's</w:t>
      </w:r>
      <w:proofErr w:type="gramEnd"/>
      <w:r w:rsidRPr="007E3DBC">
        <w:rPr>
          <w:lang w:val="en-US" w:eastAsia="en-US"/>
        </w:rPr>
        <w:t xml:space="preserve"> weight move outside its assigned range due to market price fluctuations, no rebalancing will be carried out unless other rebalancing conditions are met.</w:t>
      </w:r>
    </w:p>
    <w:p w14:paraId="0AB9C99C" w14:textId="77777777" w:rsidR="001A3E6B" w:rsidRDefault="001A3E6B" w:rsidP="001A3E6B">
      <w:pPr>
        <w:pStyle w:val="ListParagraph"/>
        <w:ind w:left="0"/>
        <w:rPr>
          <w:lang w:val="en-US" w:eastAsia="en-US"/>
        </w:rPr>
      </w:pPr>
      <w:r>
        <w:rPr>
          <w:lang w:val="en-US" w:eastAsia="en-US"/>
        </w:rPr>
        <w:t>Furthermore</w:t>
      </w:r>
      <w:r w:rsidRPr="00C47152">
        <w:rPr>
          <w:lang w:val="en-US" w:eastAsia="en-US"/>
        </w:rPr>
        <w:t xml:space="preserve">, changes in weights for added </w:t>
      </w:r>
      <w:r w:rsidRPr="00C47152">
        <w:rPr>
          <w:smallCaps/>
          <w:lang w:val="en-US" w:eastAsia="en-US"/>
        </w:rPr>
        <w:t>Index</w:t>
      </w:r>
      <w:r w:rsidRPr="00C47152">
        <w:rPr>
          <w:lang w:val="en-US" w:eastAsia="en-US"/>
        </w:rPr>
        <w:t xml:space="preserve"> components, deleted </w:t>
      </w:r>
      <w:r w:rsidRPr="00C47152">
        <w:rPr>
          <w:smallCaps/>
          <w:lang w:val="en-US" w:eastAsia="en-US"/>
        </w:rPr>
        <w:t>Index</w:t>
      </w:r>
      <w:r w:rsidRPr="00C47152">
        <w:rPr>
          <w:lang w:val="en-US" w:eastAsia="en-US"/>
        </w:rPr>
        <w:t xml:space="preserve"> components, and changes within the </w:t>
      </w:r>
      <w:r w:rsidRPr="00C47152">
        <w:rPr>
          <w:smallCaps/>
          <w:lang w:val="en-US" w:eastAsia="en-US"/>
        </w:rPr>
        <w:t>Index</w:t>
      </w:r>
      <w:r w:rsidRPr="00C47152">
        <w:rPr>
          <w:lang w:val="en-US" w:eastAsia="en-US"/>
        </w:rPr>
        <w:t xml:space="preserve"> </w:t>
      </w:r>
      <w:r w:rsidRPr="00C2731B">
        <w:rPr>
          <w:smallCaps/>
          <w:lang w:val="en-US" w:eastAsia="en-US"/>
        </w:rPr>
        <w:t>components</w:t>
      </w:r>
      <w:r w:rsidRPr="00C47152">
        <w:rPr>
          <w:lang w:val="en-US" w:eastAsia="en-US"/>
        </w:rPr>
        <w:t xml:space="preserve"> will be balanced with the cash pocket. If more securities become eligible for index inclusion or join the </w:t>
      </w:r>
      <w:r w:rsidRPr="00AD4D1C">
        <w:rPr>
          <w:smallCaps/>
          <w:lang w:val="en-US" w:eastAsia="en-US"/>
        </w:rPr>
        <w:t xml:space="preserve">High Weight Securities </w:t>
      </w:r>
      <w:r>
        <w:rPr>
          <w:smallCaps/>
          <w:lang w:val="en-US" w:eastAsia="en-US"/>
        </w:rPr>
        <w:t>Sliver</w:t>
      </w:r>
      <w:r w:rsidRPr="00AD4D1C">
        <w:rPr>
          <w:smallCaps/>
          <w:lang w:val="en-US" w:eastAsia="en-US"/>
        </w:rPr>
        <w:t xml:space="preserve"> </w:t>
      </w:r>
      <w:r w:rsidRPr="00C47152">
        <w:rPr>
          <w:lang w:val="en-US" w:eastAsia="en-US"/>
        </w:rPr>
        <w:t>group, the cash level will decrease, and vice versa</w:t>
      </w:r>
      <w:r>
        <w:rPr>
          <w:lang w:val="en-US" w:eastAsia="en-US"/>
        </w:rPr>
        <w:t>.</w:t>
      </w:r>
    </w:p>
    <w:p w14:paraId="14781F85" w14:textId="77777777" w:rsidR="001A3E6B" w:rsidRPr="002A6781" w:rsidRDefault="001A3E6B" w:rsidP="001A3E6B">
      <w:pPr>
        <w:rPr>
          <w:lang w:val="en-US"/>
        </w:rPr>
      </w:pPr>
      <w:r w:rsidRPr="00F23A1C">
        <w:rPr>
          <w:lang w:val="en-US"/>
        </w:rPr>
        <w:t xml:space="preserve">The </w:t>
      </w:r>
      <w:r w:rsidRPr="00F23A1C">
        <w:rPr>
          <w:smallCaps/>
          <w:lang w:val="en-US"/>
        </w:rPr>
        <w:t>Index Administrator</w:t>
      </w:r>
      <w:r w:rsidRPr="00F23A1C">
        <w:rPr>
          <w:lang w:val="en-US"/>
        </w:rPr>
        <w:t xml:space="preserve"> has outsourced the </w:t>
      </w:r>
      <w:r>
        <w:rPr>
          <w:lang w:val="en-US"/>
        </w:rPr>
        <w:t>weighting</w:t>
      </w:r>
      <w:r w:rsidRPr="00F23A1C">
        <w:rPr>
          <w:lang w:val="en-US"/>
        </w:rPr>
        <w:t xml:space="preserve"> of the </w:t>
      </w:r>
      <w:r w:rsidRPr="00F23A1C">
        <w:rPr>
          <w:smallCaps/>
          <w:lang w:val="en-US"/>
        </w:rPr>
        <w:t>Index Components</w:t>
      </w:r>
      <w:r w:rsidRPr="00F23A1C">
        <w:rPr>
          <w:lang w:val="en-US"/>
        </w:rPr>
        <w:t xml:space="preserve"> to the </w:t>
      </w:r>
      <w:r w:rsidRPr="00F23A1C">
        <w:rPr>
          <w:smallCaps/>
          <w:lang w:val="en-US"/>
        </w:rPr>
        <w:t>Selection Party</w:t>
      </w:r>
      <w:r w:rsidRPr="00F23A1C">
        <w:rPr>
          <w:lang w:val="en-US"/>
        </w:rPr>
        <w:t xml:space="preserve">. Such outsourcing has been made in accordance with the requirements of the </w:t>
      </w:r>
      <w:r w:rsidRPr="00F23A1C">
        <w:rPr>
          <w:smallCaps/>
          <w:lang w:val="en-US"/>
        </w:rPr>
        <w:t>BMR</w:t>
      </w:r>
      <w:r w:rsidRPr="00F23A1C">
        <w:rPr>
          <w:lang w:val="en-US"/>
        </w:rPr>
        <w:t xml:space="preserve"> (Article 10 </w:t>
      </w:r>
      <w:r w:rsidRPr="00F23A1C">
        <w:rPr>
          <w:smallCaps/>
          <w:lang w:val="en-US"/>
        </w:rPr>
        <w:t>BMR</w:t>
      </w:r>
      <w:r w:rsidRPr="00F23A1C">
        <w:rPr>
          <w:lang w:val="en-US"/>
        </w:rPr>
        <w:t xml:space="preserve">. </w:t>
      </w:r>
      <w:r w:rsidRPr="00F23A1C">
        <w:rPr>
          <w:lang w:val="en-US" w:eastAsia="en-US"/>
        </w:rPr>
        <w:t xml:space="preserve">Any discretionary decision of the </w:t>
      </w:r>
      <w:r w:rsidRPr="00F23A1C">
        <w:rPr>
          <w:smallCaps/>
          <w:lang w:val="en-US" w:eastAsia="en-US"/>
        </w:rPr>
        <w:t>Selection Party</w:t>
      </w:r>
      <w:r w:rsidRPr="00F23A1C">
        <w:rPr>
          <w:lang w:val="en-US" w:eastAsia="en-US"/>
        </w:rPr>
        <w:t xml:space="preserve"> will be made</w:t>
      </w:r>
      <w:r>
        <w:rPr>
          <w:lang w:val="en-US" w:eastAsia="en-US"/>
        </w:rPr>
        <w:t xml:space="preserve"> by</w:t>
      </w:r>
      <w:r w:rsidRPr="002A6781">
        <w:rPr>
          <w:smallCaps/>
          <w:lang w:val="en-US" w:eastAsia="en-US"/>
        </w:rPr>
        <w:t xml:space="preserve"> </w:t>
      </w:r>
      <w:proofErr w:type="gramStart"/>
      <w:r w:rsidRPr="0097123A">
        <w:rPr>
          <w:smallCaps/>
          <w:lang w:val="en-US" w:eastAsia="en-US"/>
        </w:rPr>
        <w:t>Approval</w:t>
      </w:r>
      <w:proofErr w:type="gramEnd"/>
      <w:r w:rsidRPr="0097123A">
        <w:rPr>
          <w:smallCaps/>
          <w:lang w:val="en-US" w:eastAsia="en-US"/>
        </w:rPr>
        <w:t xml:space="preserve"> Committee</w:t>
      </w:r>
      <w:r w:rsidRPr="00F23A1C">
        <w:rPr>
          <w:lang w:val="en-US" w:eastAsia="en-US"/>
        </w:rPr>
        <w:t xml:space="preserve"> in accordance with the specifications regarding the exercise of discretion or expert judgement established by the </w:t>
      </w:r>
      <w:r w:rsidRPr="00F23A1C">
        <w:rPr>
          <w:smallCaps/>
          <w:lang w:val="en-US" w:eastAsia="en-US"/>
        </w:rPr>
        <w:t>Index Administrator</w:t>
      </w:r>
      <w:r w:rsidRPr="00F23A1C">
        <w:rPr>
          <w:lang w:val="en-US"/>
        </w:rPr>
        <w:t>.</w:t>
      </w:r>
    </w:p>
    <w:p w14:paraId="301B182A" w14:textId="2BA569E6" w:rsidR="001A3E6B" w:rsidRPr="00724967" w:rsidRDefault="001A3E6B" w:rsidP="0026131F">
      <w:pPr>
        <w:spacing w:before="0" w:after="160" w:line="259" w:lineRule="auto"/>
        <w:rPr>
          <w:lang w:val="en-US"/>
        </w:rPr>
      </w:pPr>
      <w:r>
        <w:rPr>
          <w:lang w:val="en-US"/>
        </w:rPr>
        <w:t>[…]</w:t>
      </w:r>
    </w:p>
    <w:p w14:paraId="6E2B5E44" w14:textId="1052A4F8" w:rsidR="005301A2" w:rsidRDefault="005301A2" w:rsidP="0026131F">
      <w:pPr>
        <w:spacing w:before="0" w:after="160" w:line="259" w:lineRule="auto"/>
        <w:rPr>
          <w:lang w:val="en-GB"/>
        </w:rPr>
      </w:pPr>
      <w:r>
        <w:rPr>
          <w:lang w:val="en-GB"/>
        </w:rPr>
        <w:t xml:space="preserve"> </w:t>
      </w:r>
    </w:p>
    <w:p w14:paraId="38689957" w14:textId="7603E5CC" w:rsidR="001A3E6B" w:rsidRDefault="001A3E6B" w:rsidP="0026131F">
      <w:pPr>
        <w:spacing w:before="0" w:after="160" w:line="259" w:lineRule="auto"/>
        <w:rPr>
          <w:lang w:val="en-GB"/>
        </w:rPr>
      </w:pPr>
      <w:r>
        <w:rPr>
          <w:lang w:val="en-GB"/>
        </w:rPr>
        <w:t>We clarify the process of the Selection Party in the weighting of the final index constituents.</w:t>
      </w:r>
    </w:p>
    <w:p w14:paraId="5E9E91CF" w14:textId="77777777" w:rsidR="001A3E6B" w:rsidRDefault="001A3E6B" w:rsidP="0026131F">
      <w:pPr>
        <w:spacing w:before="0" w:after="160" w:line="259" w:lineRule="auto"/>
        <w:rPr>
          <w:lang w:val="en-GB"/>
        </w:rPr>
      </w:pPr>
    </w:p>
    <w:p w14:paraId="7144870A" w14:textId="77777777" w:rsidR="001A3E6B" w:rsidRDefault="001A3E6B" w:rsidP="0026131F">
      <w:pPr>
        <w:spacing w:before="0" w:after="160" w:line="259" w:lineRule="auto"/>
        <w:rPr>
          <w:lang w:val="en-GB"/>
        </w:rPr>
      </w:pPr>
    </w:p>
    <w:p w14:paraId="5765C1A7" w14:textId="77777777" w:rsidR="001A3E6B" w:rsidRDefault="001A3E6B" w:rsidP="0026131F">
      <w:pPr>
        <w:spacing w:before="0" w:after="160" w:line="259" w:lineRule="auto"/>
        <w:rPr>
          <w:lang w:val="en-GB"/>
        </w:rPr>
      </w:pPr>
    </w:p>
    <w:p w14:paraId="2A1855ED" w14:textId="011AC288" w:rsidR="001A3E6B" w:rsidRDefault="001A3E6B" w:rsidP="001A3E6B">
      <w:pPr>
        <w:pStyle w:val="Heading2"/>
        <w:rPr>
          <w:lang w:val="en-GB"/>
        </w:rPr>
      </w:pPr>
      <w:r>
        <w:rPr>
          <w:lang w:val="en-GB"/>
        </w:rPr>
        <w:t>Section 3.2 Extraordinary Rebalance</w:t>
      </w:r>
    </w:p>
    <w:p w14:paraId="4C05345B" w14:textId="77777777" w:rsidR="001A3E6B" w:rsidRDefault="001A3E6B" w:rsidP="001A3E6B">
      <w:pPr>
        <w:rPr>
          <w:lang w:val="en-GB"/>
        </w:rPr>
      </w:pPr>
    </w:p>
    <w:p w14:paraId="617801C7" w14:textId="5659606E" w:rsidR="001A3E6B" w:rsidRPr="00724967" w:rsidRDefault="001A3E6B" w:rsidP="001A3E6B">
      <w:pPr>
        <w:rPr>
          <w:i/>
          <w:iCs/>
          <w:lang w:val="en-GB"/>
        </w:rPr>
      </w:pPr>
      <w:r w:rsidRPr="00724967">
        <w:rPr>
          <w:i/>
          <w:iCs/>
          <w:lang w:val="en-GB"/>
        </w:rPr>
        <w:t>From:</w:t>
      </w:r>
    </w:p>
    <w:p w14:paraId="4FF0E03B" w14:textId="77777777" w:rsidR="001A3E6B" w:rsidRDefault="001A3E6B" w:rsidP="001A3E6B">
      <w:pPr>
        <w:rPr>
          <w:lang w:val="en-GB"/>
        </w:rPr>
      </w:pPr>
    </w:p>
    <w:p w14:paraId="4449706D" w14:textId="14F7BDF1" w:rsidR="001A3E6B" w:rsidRDefault="001A3E6B" w:rsidP="001A3E6B">
      <w:pPr>
        <w:rPr>
          <w:lang w:val="en-US"/>
        </w:rPr>
      </w:pPr>
      <w:r w:rsidRPr="001A3E6B">
        <w:rPr>
          <w:noProof/>
          <w:lang w:val="en-US"/>
        </w:rPr>
        <w:drawing>
          <wp:inline distT="0" distB="0" distL="0" distR="0" wp14:anchorId="7F3E8A0F" wp14:editId="616FC4D4">
            <wp:extent cx="5204911" cy="944962"/>
            <wp:effectExtent l="0" t="0" r="0" b="7620"/>
            <wp:docPr id="389416437"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16437" name="Picture 1" descr="A close-up of a white background&#10;&#10;AI-generated content may be incorrect."/>
                    <pic:cNvPicPr/>
                  </pic:nvPicPr>
                  <pic:blipFill>
                    <a:blip r:embed="rId13"/>
                    <a:stretch>
                      <a:fillRect/>
                    </a:stretch>
                  </pic:blipFill>
                  <pic:spPr>
                    <a:xfrm>
                      <a:off x="0" y="0"/>
                      <a:ext cx="5204911" cy="944962"/>
                    </a:xfrm>
                    <a:prstGeom prst="rect">
                      <a:avLst/>
                    </a:prstGeom>
                  </pic:spPr>
                </pic:pic>
              </a:graphicData>
            </a:graphic>
          </wp:inline>
        </w:drawing>
      </w:r>
    </w:p>
    <w:p w14:paraId="134583FC" w14:textId="77777777" w:rsidR="001A3E6B" w:rsidRDefault="001A3E6B" w:rsidP="001A3E6B">
      <w:pPr>
        <w:rPr>
          <w:lang w:val="en-GB"/>
        </w:rPr>
      </w:pPr>
    </w:p>
    <w:p w14:paraId="690C546B" w14:textId="78C3E390" w:rsidR="001A3E6B" w:rsidRPr="00724967" w:rsidRDefault="001A3E6B" w:rsidP="001A3E6B">
      <w:pPr>
        <w:rPr>
          <w:i/>
          <w:iCs/>
          <w:lang w:val="en-GB"/>
        </w:rPr>
      </w:pPr>
      <w:r w:rsidRPr="00724967">
        <w:rPr>
          <w:i/>
          <w:iCs/>
          <w:lang w:val="en-GB"/>
        </w:rPr>
        <w:t>To:</w:t>
      </w:r>
    </w:p>
    <w:p w14:paraId="5293B4DB" w14:textId="77777777" w:rsidR="001A3E6B" w:rsidRDefault="001A3E6B" w:rsidP="001A3E6B">
      <w:pPr>
        <w:rPr>
          <w:lang w:val="en-GB"/>
        </w:rPr>
      </w:pPr>
    </w:p>
    <w:p w14:paraId="0F4EF009" w14:textId="77777777" w:rsidR="001A3E6B" w:rsidRPr="00F23A1C" w:rsidRDefault="001A3E6B" w:rsidP="001A3E6B">
      <w:pPr>
        <w:rPr>
          <w:rFonts w:ascii="Calibri" w:hAnsi="Calibri"/>
          <w:sz w:val="22"/>
          <w:szCs w:val="22"/>
          <w:lang w:val="en-US" w:eastAsia="en-US"/>
        </w:rPr>
      </w:pPr>
      <w:r w:rsidRPr="00F23A1C">
        <w:rPr>
          <w:lang w:val="en-US"/>
        </w:rPr>
        <w:t xml:space="preserve">In addition to the ordinary rebalance, the </w:t>
      </w:r>
      <w:r w:rsidRPr="00F23A1C">
        <w:rPr>
          <w:smallCaps/>
          <w:lang w:val="en-US"/>
        </w:rPr>
        <w:t>Index</w:t>
      </w:r>
      <w:r w:rsidRPr="00F23A1C">
        <w:rPr>
          <w:lang w:val="en-US"/>
        </w:rPr>
        <w:t xml:space="preserve"> is also rebalanced </w:t>
      </w:r>
      <w:r>
        <w:rPr>
          <w:lang w:val="en-US"/>
        </w:rPr>
        <w:t xml:space="preserve">on an </w:t>
      </w:r>
      <w:r w:rsidRPr="00F23A1C">
        <w:rPr>
          <w:lang w:val="en-US"/>
        </w:rPr>
        <w:t>extraordinary</w:t>
      </w:r>
      <w:r>
        <w:rPr>
          <w:lang w:val="en-US"/>
        </w:rPr>
        <w:t xml:space="preserve"> basis</w:t>
      </w:r>
      <w:r w:rsidRPr="00F23A1C">
        <w:rPr>
          <w:lang w:val="en-US"/>
        </w:rPr>
        <w:t xml:space="preserve">. These adjustments take place outside the </w:t>
      </w:r>
      <w:r>
        <w:rPr>
          <w:lang w:val="en-US"/>
        </w:rPr>
        <w:t xml:space="preserve">ordinary </w:t>
      </w:r>
      <w:r w:rsidRPr="00F23A1C">
        <w:rPr>
          <w:lang w:val="en-US"/>
        </w:rPr>
        <w:t xml:space="preserve">rebalancing schedule and </w:t>
      </w:r>
      <w:r>
        <w:rPr>
          <w:lang w:val="en-US"/>
        </w:rPr>
        <w:t xml:space="preserve">are triggered by any event that causes a significant deviation in the criteria defined for the </w:t>
      </w:r>
      <w:r w:rsidRPr="00653A14">
        <w:rPr>
          <w:smallCaps/>
          <w:lang w:val="en-US"/>
        </w:rPr>
        <w:t>Combined Earnings Power Risk Score</w:t>
      </w:r>
      <w:r>
        <w:rPr>
          <w:lang w:val="en-US"/>
        </w:rPr>
        <w:t xml:space="preserve"> and </w:t>
      </w:r>
      <w:r w:rsidRPr="00653A14">
        <w:rPr>
          <w:smallCaps/>
          <w:lang w:val="en-US"/>
        </w:rPr>
        <w:t>Combined Ratio</w:t>
      </w:r>
      <w:r>
        <w:rPr>
          <w:lang w:val="en-US"/>
        </w:rPr>
        <w:t xml:space="preserve"> (as outlined in Section 2.2), resulting in a material change to the </w:t>
      </w:r>
      <w:r w:rsidRPr="00653A14">
        <w:rPr>
          <w:smallCaps/>
          <w:lang w:val="en-US"/>
        </w:rPr>
        <w:t>Index Components</w:t>
      </w:r>
      <w:r>
        <w:rPr>
          <w:lang w:val="en-US"/>
        </w:rPr>
        <w:t xml:space="preserve">. </w:t>
      </w:r>
    </w:p>
    <w:p w14:paraId="625B5060" w14:textId="77777777" w:rsidR="001A3E6B" w:rsidRPr="00F23A1C" w:rsidRDefault="001A3E6B" w:rsidP="001A3E6B">
      <w:pPr>
        <w:rPr>
          <w:rFonts w:ascii="Calibri" w:hAnsi="Calibri"/>
          <w:sz w:val="22"/>
          <w:szCs w:val="22"/>
          <w:lang w:val="en-US" w:eastAsia="en-US"/>
        </w:rPr>
      </w:pPr>
      <w:r w:rsidRPr="00F23A1C">
        <w:rPr>
          <w:lang w:val="en-US" w:eastAsia="en-US"/>
        </w:rPr>
        <w:t xml:space="preserve">The </w:t>
      </w:r>
      <w:r w:rsidRPr="00F23A1C">
        <w:rPr>
          <w:smallCaps/>
          <w:lang w:val="en-US" w:eastAsia="en-US"/>
        </w:rPr>
        <w:t>Index Administrator</w:t>
      </w:r>
      <w:r w:rsidRPr="00F23A1C">
        <w:rPr>
          <w:lang w:val="en-US" w:eastAsia="en-US"/>
        </w:rPr>
        <w:t xml:space="preserve"> has outsourced the determination of the </w:t>
      </w:r>
      <w:r>
        <w:rPr>
          <w:smallCaps/>
          <w:lang w:val="en-US" w:eastAsia="en-US"/>
        </w:rPr>
        <w:t>Extraordinary</w:t>
      </w:r>
      <w:r w:rsidRPr="00821427">
        <w:rPr>
          <w:smallCaps/>
          <w:lang w:val="en-US" w:eastAsia="en-US"/>
        </w:rPr>
        <w:t xml:space="preserve"> Rebalance </w:t>
      </w:r>
      <w:r w:rsidRPr="00F23A1C">
        <w:rPr>
          <w:lang w:val="en-US" w:eastAsia="en-US"/>
        </w:rPr>
        <w:t xml:space="preserve">to the </w:t>
      </w:r>
      <w:r w:rsidRPr="00F23A1C">
        <w:rPr>
          <w:smallCaps/>
          <w:lang w:val="en-US" w:eastAsia="en-US"/>
        </w:rPr>
        <w:t>Selection Party</w:t>
      </w:r>
      <w:r w:rsidRPr="00F23A1C">
        <w:rPr>
          <w:lang w:val="en-US" w:eastAsia="en-US"/>
        </w:rPr>
        <w:t xml:space="preserve">. Such outsourcing has been made in accordance with the requirements of the </w:t>
      </w:r>
      <w:r w:rsidRPr="00F23A1C">
        <w:rPr>
          <w:smallCaps/>
          <w:lang w:val="en-US" w:eastAsia="en-US"/>
        </w:rPr>
        <w:t>BMR</w:t>
      </w:r>
      <w:r w:rsidRPr="00F23A1C">
        <w:rPr>
          <w:lang w:val="en-US" w:eastAsia="en-US"/>
        </w:rPr>
        <w:t xml:space="preserve"> (Article 10 </w:t>
      </w:r>
      <w:r w:rsidRPr="00F23A1C">
        <w:rPr>
          <w:smallCaps/>
          <w:lang w:val="en-US" w:eastAsia="en-US"/>
        </w:rPr>
        <w:t>BMR</w:t>
      </w:r>
      <w:r w:rsidRPr="00F23A1C">
        <w:rPr>
          <w:lang w:val="en-US" w:eastAsia="en-US"/>
        </w:rPr>
        <w:t xml:space="preserve">). Any discretionary decision of the </w:t>
      </w:r>
      <w:r w:rsidRPr="00F23A1C">
        <w:rPr>
          <w:smallCaps/>
          <w:lang w:val="en-US" w:eastAsia="en-US"/>
        </w:rPr>
        <w:t>Selection Party</w:t>
      </w:r>
      <w:r w:rsidRPr="00F23A1C">
        <w:rPr>
          <w:lang w:val="en-US" w:eastAsia="en-US"/>
        </w:rPr>
        <w:t xml:space="preserve"> will be made</w:t>
      </w:r>
      <w:r>
        <w:rPr>
          <w:lang w:val="en-US" w:eastAsia="en-US"/>
        </w:rPr>
        <w:t xml:space="preserve"> by </w:t>
      </w:r>
      <w:proofErr w:type="gramStart"/>
      <w:r w:rsidRPr="0097123A">
        <w:rPr>
          <w:smallCaps/>
          <w:lang w:val="en-US" w:eastAsia="en-US"/>
        </w:rPr>
        <w:t>Approval</w:t>
      </w:r>
      <w:proofErr w:type="gramEnd"/>
      <w:r w:rsidRPr="0097123A">
        <w:rPr>
          <w:smallCaps/>
          <w:lang w:val="en-US" w:eastAsia="en-US"/>
        </w:rPr>
        <w:t xml:space="preserve"> Committee</w:t>
      </w:r>
      <w:r w:rsidRPr="00F23A1C">
        <w:rPr>
          <w:lang w:val="en-US" w:eastAsia="en-US"/>
        </w:rPr>
        <w:t xml:space="preserve"> in accordance with the specifications regarding the exercise of discretion or expert judgement established by the </w:t>
      </w:r>
      <w:r w:rsidRPr="00F23A1C">
        <w:rPr>
          <w:smallCaps/>
          <w:lang w:val="en-US" w:eastAsia="en-US"/>
        </w:rPr>
        <w:t>Index Administrator</w:t>
      </w:r>
      <w:r w:rsidRPr="00F23A1C">
        <w:rPr>
          <w:lang w:val="en-US" w:eastAsia="en-US"/>
        </w:rPr>
        <w:t>.</w:t>
      </w:r>
    </w:p>
    <w:p w14:paraId="2F4FEFFF" w14:textId="77777777" w:rsidR="005301A2" w:rsidRDefault="005301A2" w:rsidP="0026131F">
      <w:pPr>
        <w:spacing w:before="0" w:after="160" w:line="259" w:lineRule="auto"/>
        <w:rPr>
          <w:lang w:val="en-GB"/>
        </w:rPr>
      </w:pPr>
    </w:p>
    <w:p w14:paraId="04D15369" w14:textId="77777777" w:rsidR="001A3E6B" w:rsidRDefault="001A3E6B" w:rsidP="0026131F">
      <w:pPr>
        <w:spacing w:before="0" w:after="160" w:line="259" w:lineRule="auto"/>
        <w:rPr>
          <w:lang w:val="en-GB"/>
        </w:rPr>
      </w:pPr>
    </w:p>
    <w:p w14:paraId="39D47585" w14:textId="3F45DA58" w:rsidR="001A3E6B" w:rsidRDefault="001A3E6B" w:rsidP="00724967">
      <w:pPr>
        <w:pStyle w:val="Heading2"/>
        <w:rPr>
          <w:lang w:val="en-GB"/>
        </w:rPr>
      </w:pPr>
      <w:r>
        <w:rPr>
          <w:lang w:val="en-GB"/>
        </w:rPr>
        <w:t>Section 6. Definitions</w:t>
      </w:r>
    </w:p>
    <w:p w14:paraId="3C66E948" w14:textId="77777777" w:rsidR="001A3E6B" w:rsidRDefault="001A3E6B" w:rsidP="0026131F">
      <w:pPr>
        <w:spacing w:before="0" w:after="160" w:line="259" w:lineRule="auto"/>
        <w:rPr>
          <w:lang w:val="en-GB"/>
        </w:rPr>
      </w:pPr>
    </w:p>
    <w:p w14:paraId="4B9D7B90" w14:textId="2F347B1C" w:rsidR="001A3E6B" w:rsidRPr="00724967" w:rsidRDefault="001A3E6B" w:rsidP="0026131F">
      <w:pPr>
        <w:spacing w:before="0" w:after="160" w:line="259" w:lineRule="auto"/>
        <w:rPr>
          <w:i/>
          <w:iCs/>
          <w:lang w:val="en-GB"/>
        </w:rPr>
      </w:pPr>
      <w:r w:rsidRPr="00724967">
        <w:rPr>
          <w:i/>
          <w:iCs/>
          <w:lang w:val="en-GB"/>
        </w:rPr>
        <w:t>From:</w:t>
      </w:r>
    </w:p>
    <w:p w14:paraId="143C61B9" w14:textId="5630EE91" w:rsidR="001A3E6B" w:rsidRDefault="001A3E6B" w:rsidP="0026131F">
      <w:pPr>
        <w:spacing w:before="0" w:after="160" w:line="259" w:lineRule="auto"/>
        <w:rPr>
          <w:lang w:val="en-GB"/>
        </w:rPr>
      </w:pPr>
      <w:r>
        <w:rPr>
          <w:lang w:val="en-GB"/>
        </w:rPr>
        <w:t>[…]</w:t>
      </w:r>
    </w:p>
    <w:p w14:paraId="34731112" w14:textId="224B6ED2" w:rsidR="001A3E6B" w:rsidRDefault="001A3E6B" w:rsidP="0026131F">
      <w:pPr>
        <w:spacing w:before="0" w:after="160" w:line="259" w:lineRule="auto"/>
        <w:rPr>
          <w:lang w:val="en-GB"/>
        </w:rPr>
      </w:pPr>
      <w:r w:rsidRPr="001A3E6B">
        <w:rPr>
          <w:noProof/>
          <w:lang w:val="en-GB"/>
        </w:rPr>
        <w:drawing>
          <wp:inline distT="0" distB="0" distL="0" distR="0" wp14:anchorId="42E73F96" wp14:editId="096EE4DF">
            <wp:extent cx="6232564" cy="716280"/>
            <wp:effectExtent l="0" t="0" r="0" b="7620"/>
            <wp:docPr id="208719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94504" name=""/>
                    <pic:cNvPicPr/>
                  </pic:nvPicPr>
                  <pic:blipFill>
                    <a:blip r:embed="rId14"/>
                    <a:stretch>
                      <a:fillRect/>
                    </a:stretch>
                  </pic:blipFill>
                  <pic:spPr>
                    <a:xfrm>
                      <a:off x="0" y="0"/>
                      <a:ext cx="6237418" cy="716838"/>
                    </a:xfrm>
                    <a:prstGeom prst="rect">
                      <a:avLst/>
                    </a:prstGeom>
                  </pic:spPr>
                </pic:pic>
              </a:graphicData>
            </a:graphic>
          </wp:inline>
        </w:drawing>
      </w:r>
    </w:p>
    <w:p w14:paraId="53491C55" w14:textId="77777777" w:rsidR="001A3E6B" w:rsidRDefault="001A3E6B" w:rsidP="001A3E6B">
      <w:pPr>
        <w:spacing w:before="0" w:after="160" w:line="259" w:lineRule="auto"/>
        <w:rPr>
          <w:lang w:val="en-GB"/>
        </w:rPr>
      </w:pPr>
      <w:r>
        <w:rPr>
          <w:lang w:val="en-GB"/>
        </w:rPr>
        <w:t>[…]</w:t>
      </w:r>
    </w:p>
    <w:p w14:paraId="55D916BE" w14:textId="77777777" w:rsidR="001A3E6B" w:rsidRDefault="001A3E6B" w:rsidP="0026131F">
      <w:pPr>
        <w:spacing w:before="0" w:after="160" w:line="259" w:lineRule="auto"/>
        <w:rPr>
          <w:lang w:val="en-GB"/>
        </w:rPr>
      </w:pPr>
    </w:p>
    <w:p w14:paraId="49A9C5F8" w14:textId="2F6EDF7D" w:rsidR="001A3E6B" w:rsidRPr="00724967" w:rsidRDefault="001A3E6B" w:rsidP="0026131F">
      <w:pPr>
        <w:spacing w:before="0" w:after="160" w:line="259" w:lineRule="auto"/>
        <w:rPr>
          <w:i/>
          <w:iCs/>
          <w:lang w:val="en-US"/>
        </w:rPr>
      </w:pPr>
      <w:r w:rsidRPr="00724967">
        <w:rPr>
          <w:i/>
          <w:iCs/>
          <w:lang w:val="en-US"/>
        </w:rPr>
        <w:t>To:</w:t>
      </w:r>
    </w:p>
    <w:p w14:paraId="6E79694F" w14:textId="2DD0AA5B" w:rsidR="001A3E6B" w:rsidRPr="00724967" w:rsidRDefault="001A3E6B" w:rsidP="0026131F">
      <w:pPr>
        <w:spacing w:before="0" w:after="160" w:line="259" w:lineRule="auto"/>
        <w:rPr>
          <w:lang w:val="en-US"/>
        </w:rPr>
      </w:pPr>
      <w:r>
        <w:rPr>
          <w:lang w:val="en-US"/>
        </w:rPr>
        <w:t>[…]</w:t>
      </w:r>
    </w:p>
    <w:p w14:paraId="4AFDFCAE" w14:textId="77777777" w:rsidR="001A3E6B" w:rsidRDefault="001A3E6B" w:rsidP="001A3E6B">
      <w:pPr>
        <w:rPr>
          <w:lang w:val="en-US"/>
        </w:rPr>
      </w:pPr>
      <w:r w:rsidRPr="00B04D2F">
        <w:rPr>
          <w:lang w:val="en-US"/>
        </w:rPr>
        <w:t>“</w:t>
      </w:r>
      <w:r w:rsidRPr="00B04D2F">
        <w:rPr>
          <w:rFonts w:ascii="Flama Semicondensed Medium" w:hAnsi="Flama Semicondensed Medium"/>
          <w:smallCaps/>
          <w:lang w:val="en-US"/>
        </w:rPr>
        <w:t>Rebalance Day</w:t>
      </w:r>
      <w:r w:rsidRPr="00B04D2F">
        <w:rPr>
          <w:lang w:val="en-US"/>
        </w:rPr>
        <w:t xml:space="preserve">” is </w:t>
      </w:r>
      <w:r>
        <w:rPr>
          <w:lang w:val="en-US"/>
        </w:rPr>
        <w:t xml:space="preserve">2 weekdays (Monday to Friday) before the last weekday (Monday to Friday) of each month. If the </w:t>
      </w:r>
      <w:r w:rsidRPr="00653A14">
        <w:rPr>
          <w:smallCaps/>
          <w:lang w:val="en-US"/>
        </w:rPr>
        <w:t>Rebalance Day</w:t>
      </w:r>
      <w:r>
        <w:rPr>
          <w:lang w:val="en-US"/>
        </w:rPr>
        <w:t xml:space="preserve"> </w:t>
      </w:r>
      <w:r w:rsidRPr="00B04D2F">
        <w:rPr>
          <w:lang w:val="en-US"/>
        </w:rPr>
        <w:t xml:space="preserve">is not a </w:t>
      </w:r>
      <w:r w:rsidRPr="00B04D2F">
        <w:rPr>
          <w:smallCaps/>
          <w:lang w:val="en-US"/>
        </w:rPr>
        <w:t>Business DAY,</w:t>
      </w:r>
      <w:r w:rsidRPr="00B04D2F">
        <w:rPr>
          <w:lang w:val="en-US"/>
        </w:rPr>
        <w:t xml:space="preserve"> the </w:t>
      </w:r>
      <w:r w:rsidRPr="00B04D2F">
        <w:rPr>
          <w:smallCaps/>
          <w:lang w:val="en-US"/>
        </w:rPr>
        <w:t>Rebalance Day</w:t>
      </w:r>
      <w:r w:rsidRPr="00B04D2F">
        <w:rPr>
          <w:lang w:val="en-US"/>
        </w:rPr>
        <w:t xml:space="preserve"> will be the immediately </w:t>
      </w:r>
      <w:r>
        <w:rPr>
          <w:lang w:val="en-US"/>
        </w:rPr>
        <w:t>preceding</w:t>
      </w:r>
      <w:r w:rsidRPr="00B04D2F">
        <w:rPr>
          <w:lang w:val="en-US"/>
        </w:rPr>
        <w:t xml:space="preserve"> </w:t>
      </w:r>
      <w:r w:rsidRPr="00B04D2F">
        <w:rPr>
          <w:smallCaps/>
          <w:lang w:val="en-US"/>
        </w:rPr>
        <w:t>Business Day</w:t>
      </w:r>
      <w:r w:rsidRPr="00B04D2F">
        <w:rPr>
          <w:lang w:val="en-US"/>
        </w:rPr>
        <w:t>.</w:t>
      </w:r>
    </w:p>
    <w:p w14:paraId="1281BF57" w14:textId="0CBCB619" w:rsidR="001A3E6B" w:rsidRDefault="001A3E6B" w:rsidP="0026131F">
      <w:pPr>
        <w:spacing w:before="0" w:after="160" w:line="259" w:lineRule="auto"/>
        <w:rPr>
          <w:lang w:val="en-US"/>
        </w:rPr>
      </w:pPr>
      <w:r>
        <w:rPr>
          <w:lang w:val="en-US"/>
        </w:rPr>
        <w:t>[…]</w:t>
      </w:r>
    </w:p>
    <w:p w14:paraId="61C9B5CC" w14:textId="77777777" w:rsidR="001A3E6B" w:rsidRDefault="001A3E6B" w:rsidP="0026131F">
      <w:pPr>
        <w:spacing w:before="0" w:after="160" w:line="259" w:lineRule="auto"/>
        <w:rPr>
          <w:lang w:val="en-US"/>
        </w:rPr>
      </w:pPr>
    </w:p>
    <w:p w14:paraId="71E68732" w14:textId="39E3C8E2" w:rsidR="001A3E6B" w:rsidRDefault="001A3E6B" w:rsidP="0026131F">
      <w:pPr>
        <w:spacing w:before="0" w:after="160" w:line="259" w:lineRule="auto"/>
        <w:rPr>
          <w:lang w:val="en-US"/>
        </w:rPr>
      </w:pPr>
      <w:r>
        <w:rPr>
          <w:lang w:val="en-US"/>
        </w:rPr>
        <w:t xml:space="preserve">We’re moving the Rebalance Day earlier to make it </w:t>
      </w:r>
      <w:proofErr w:type="gramStart"/>
      <w:r>
        <w:rPr>
          <w:lang w:val="en-US"/>
        </w:rPr>
        <w:t>match</w:t>
      </w:r>
      <w:proofErr w:type="gramEnd"/>
      <w:r>
        <w:rPr>
          <w:lang w:val="en-US"/>
        </w:rPr>
        <w:t xml:space="preserve"> end of </w:t>
      </w:r>
      <w:proofErr w:type="gramStart"/>
      <w:r>
        <w:rPr>
          <w:lang w:val="en-US"/>
        </w:rPr>
        <w:t>month</w:t>
      </w:r>
      <w:proofErr w:type="gramEnd"/>
      <w:r>
        <w:rPr>
          <w:lang w:val="en-US"/>
        </w:rPr>
        <w:t>.</w:t>
      </w:r>
    </w:p>
    <w:p w14:paraId="0C6742BA" w14:textId="2CB71DD7" w:rsidR="001A3E6B" w:rsidRDefault="001A3E6B" w:rsidP="0026131F">
      <w:pPr>
        <w:spacing w:before="0" w:after="160" w:line="259" w:lineRule="auto"/>
        <w:rPr>
          <w:lang w:val="en-US"/>
        </w:rPr>
      </w:pPr>
    </w:p>
    <w:p w14:paraId="0E89C908" w14:textId="77777777" w:rsidR="001A3E6B" w:rsidRPr="00724967" w:rsidRDefault="001A3E6B" w:rsidP="0026131F">
      <w:pPr>
        <w:spacing w:before="0" w:after="160" w:line="259" w:lineRule="auto"/>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89CABC1"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304966" w:rsidRPr="00653A14">
        <w:rPr>
          <w:b/>
          <w:bCs/>
          <w:lang w:val="en-US"/>
        </w:rPr>
        <w:t>Solactive Lloyd Growth Equity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6D75D61D"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until </w:t>
      </w:r>
      <w:r w:rsidR="00304966" w:rsidRPr="00724967">
        <w:rPr>
          <w:lang w:val="en-US"/>
        </w:rPr>
        <w:t>2025-07-24</w:t>
      </w:r>
      <w:r w:rsidRPr="00724967">
        <w:rPr>
          <w:lang w:val="en-US"/>
        </w:rPr>
        <w:t>.</w:t>
      </w:r>
    </w:p>
    <w:p w14:paraId="741A56A5" w14:textId="44CBD2D7"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304966" w:rsidRPr="00724967">
        <w:rPr>
          <w:lang w:val="en-US"/>
        </w:rPr>
        <w:t>2025-08-08</w:t>
      </w:r>
      <w:r w:rsidR="004819FA" w:rsidRPr="00724967">
        <w:rPr>
          <w:lang w:val="en-US"/>
        </w:rPr>
        <w:t>.</w:t>
      </w:r>
    </w:p>
    <w:p w14:paraId="0D223365" w14:textId="77777777" w:rsidR="00651886" w:rsidRPr="00C04273" w:rsidRDefault="00651886" w:rsidP="005055F5">
      <w:pPr>
        <w:spacing w:before="0" w:after="0" w:line="360" w:lineRule="auto"/>
        <w:rPr>
          <w:lang w:val="en-US"/>
        </w:rPr>
      </w:pPr>
    </w:p>
    <w:p w14:paraId="04131284" w14:textId="362382A6"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5"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724967">
        <w:rPr>
          <w:b/>
          <w:bCs/>
          <w:lang w:val="en-US"/>
        </w:rPr>
        <w:t xml:space="preserve"> </w:t>
      </w:r>
      <w:r w:rsidR="00304966" w:rsidRPr="00724967">
        <w:rPr>
          <w:b/>
          <w:bCs/>
          <w:lang w:val="en-US"/>
        </w:rPr>
        <w:t>Solactive Lloyd Growth Equity Index</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6"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7"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9"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20"/>
      <w:headerReference w:type="default" r:id="rId21"/>
      <w:footerReference w:type="even" r:id="rId22"/>
      <w:footerReference w:type="default" r:id="rId23"/>
      <w:headerReference w:type="first" r:id="rId24"/>
      <w:footerReference w:type="first" r:id="rId25"/>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4908B6AA-20E4-4A51-8EFF-549F4BD532D9}"/>
    <w:embedBold r:id="rId2" w:fontKey="{F2062FF9-5152-4006-BD2F-58FF1F67C80E}"/>
    <w:embedItalic r:id="rId3" w:fontKey="{8BB72237-D87D-4B0F-9801-CC91B49A751A}"/>
  </w:font>
  <w:font w:name="Calibri">
    <w:panose1 w:val="020F0502020204030204"/>
    <w:charset w:val="00"/>
    <w:family w:val="swiss"/>
    <w:pitch w:val="variable"/>
    <w:sig w:usb0="E4002EFF" w:usb1="C000247B" w:usb2="00000009" w:usb3="00000000" w:csb0="000001FF" w:csb1="00000000"/>
    <w:embedRegular r:id="rId4" w:fontKey="{B73BFDD6-1FE1-49C2-91D1-5D8746859AF7}"/>
  </w:font>
  <w:font w:name="Segoe UI">
    <w:panose1 w:val="020B0502040204020203"/>
    <w:charset w:val="00"/>
    <w:family w:val="swiss"/>
    <w:pitch w:val="variable"/>
    <w:sig w:usb0="E4002EFF" w:usb1="C000E47F" w:usb2="00000009" w:usb3="00000000" w:csb0="000001FF" w:csb1="00000000"/>
    <w:embedRegular r:id="rId5" w:fontKey="{AAA6B7C3-9DF2-4B38-914C-CC92ED3A67AC}"/>
  </w:font>
  <w:font w:name="Flama Semicondensed Medium">
    <w:panose1 w:val="02000000000000000000"/>
    <w:charset w:val="00"/>
    <w:family w:val="auto"/>
    <w:pitch w:val="variable"/>
    <w:sig w:usb0="A00000AF" w:usb1="4000207B" w:usb2="00000000" w:usb3="00000000" w:csb0="0000008B" w:csb1="00000000"/>
    <w:embedRegular r:id="rId6" w:fontKey="{AF0A9859-2509-486B-9C3A-C51211EE9AB2}"/>
    <w:embedBold r:id="rId7" w:fontKey="{3C83AFE2-D6D0-4F8F-8FFF-583DBFC2CD19}"/>
  </w:font>
  <w:font w:name="Calibri Light">
    <w:panose1 w:val="020F0302020204030204"/>
    <w:charset w:val="00"/>
    <w:family w:val="swiss"/>
    <w:pitch w:val="variable"/>
    <w:sig w:usb0="E4002EFF" w:usb1="C000247B" w:usb2="00000009" w:usb3="00000000" w:csb0="000001FF" w:csb1="00000000"/>
    <w:embedRegular r:id="rId8" w:fontKey="{C31723B0-6605-4BFA-90F0-4CC891702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0B57E5E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304966">
          <w:rPr>
            <w:lang w:val="en-US"/>
          </w:rPr>
          <w:t>Market Consultation Solactive Lloyd Growth Equity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C0D10"/>
    <w:multiLevelType w:val="hybridMultilevel"/>
    <w:tmpl w:val="90B8888E"/>
    <w:lvl w:ilvl="0" w:tplc="20000001">
      <w:start w:val="1"/>
      <w:numFmt w:val="bullet"/>
      <w:lvlText w:val=""/>
      <w:lvlJc w:val="left"/>
      <w:pPr>
        <w:ind w:left="1776" w:hanging="360"/>
      </w:pPr>
      <w:rPr>
        <w:rFonts w:ascii="Symbol" w:hAnsi="Symbol" w:hint="default"/>
      </w:rPr>
    </w:lvl>
    <w:lvl w:ilvl="1" w:tplc="20000003">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4A2826"/>
    <w:multiLevelType w:val="hybridMultilevel"/>
    <w:tmpl w:val="0C30E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2F1226"/>
    <w:multiLevelType w:val="hybridMultilevel"/>
    <w:tmpl w:val="E3A4C636"/>
    <w:lvl w:ilvl="0" w:tplc="FEF0F4E4">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4163981">
    <w:abstractNumId w:val="6"/>
  </w:num>
  <w:num w:numId="2" w16cid:durableId="252976051">
    <w:abstractNumId w:val="7"/>
  </w:num>
  <w:num w:numId="3" w16cid:durableId="45109844">
    <w:abstractNumId w:val="17"/>
  </w:num>
  <w:num w:numId="4" w16cid:durableId="1347907988">
    <w:abstractNumId w:val="22"/>
  </w:num>
  <w:num w:numId="5" w16cid:durableId="1345550190">
    <w:abstractNumId w:val="16"/>
  </w:num>
  <w:num w:numId="6" w16cid:durableId="1713118826">
    <w:abstractNumId w:val="8"/>
  </w:num>
  <w:num w:numId="7" w16cid:durableId="962924194">
    <w:abstractNumId w:val="20"/>
  </w:num>
  <w:num w:numId="8" w16cid:durableId="939139139">
    <w:abstractNumId w:val="3"/>
  </w:num>
  <w:num w:numId="9" w16cid:durableId="285965758">
    <w:abstractNumId w:val="14"/>
  </w:num>
  <w:num w:numId="10" w16cid:durableId="806320826">
    <w:abstractNumId w:val="13"/>
  </w:num>
  <w:num w:numId="11" w16cid:durableId="862790184">
    <w:abstractNumId w:val="2"/>
  </w:num>
  <w:num w:numId="12" w16cid:durableId="1123695240">
    <w:abstractNumId w:val="1"/>
  </w:num>
  <w:num w:numId="13" w16cid:durableId="10104736">
    <w:abstractNumId w:val="15"/>
  </w:num>
  <w:num w:numId="14" w16cid:durableId="936988493">
    <w:abstractNumId w:val="10"/>
  </w:num>
  <w:num w:numId="15" w16cid:durableId="416441489">
    <w:abstractNumId w:val="4"/>
  </w:num>
  <w:num w:numId="16" w16cid:durableId="451872362">
    <w:abstractNumId w:val="12"/>
  </w:num>
  <w:num w:numId="17" w16cid:durableId="467475861">
    <w:abstractNumId w:val="23"/>
  </w:num>
  <w:num w:numId="18" w16cid:durableId="1917082438">
    <w:abstractNumId w:val="9"/>
  </w:num>
  <w:num w:numId="19" w16cid:durableId="990452361">
    <w:abstractNumId w:val="18"/>
  </w:num>
  <w:num w:numId="20" w16cid:durableId="1408651993">
    <w:abstractNumId w:val="19"/>
  </w:num>
  <w:num w:numId="21" w16cid:durableId="1262494439">
    <w:abstractNumId w:val="0"/>
  </w:num>
  <w:num w:numId="22" w16cid:durableId="246154055">
    <w:abstractNumId w:val="21"/>
  </w:num>
  <w:num w:numId="23" w16cid:durableId="875695915">
    <w:abstractNumId w:val="5"/>
  </w:num>
  <w:num w:numId="24" w16cid:durableId="16186384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54219"/>
    <w:rsid w:val="00185395"/>
    <w:rsid w:val="001913FD"/>
    <w:rsid w:val="00192032"/>
    <w:rsid w:val="0019287D"/>
    <w:rsid w:val="00196409"/>
    <w:rsid w:val="00196791"/>
    <w:rsid w:val="001A3E6B"/>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04966"/>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01A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24967"/>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C5326"/>
    <w:rsid w:val="00ED0760"/>
    <w:rsid w:val="00EE22E3"/>
    <w:rsid w:val="00EF4A17"/>
    <w:rsid w:val="00F0488B"/>
    <w:rsid w:val="00F05848"/>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304966"/>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24977">
      <w:bodyDiv w:val="1"/>
      <w:marLeft w:val="0"/>
      <w:marRight w:val="0"/>
      <w:marTop w:val="0"/>
      <w:marBottom w:val="0"/>
      <w:divBdr>
        <w:top w:val="none" w:sz="0" w:space="0" w:color="auto"/>
        <w:left w:val="none" w:sz="0" w:space="0" w:color="auto"/>
        <w:bottom w:val="none" w:sz="0" w:space="0" w:color="auto"/>
        <w:right w:val="none" w:sz="0" w:space="0" w:color="auto"/>
      </w:divBdr>
    </w:div>
    <w:div w:id="187951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hyperlink" Target="mailto:info@solactive.co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hyperlink" Target="http://www.solactive.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info@solactiv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marketconsultation@solactive.com"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54219"/>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EC5326"/>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2025-07-11T00:00:00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10</Pages>
  <Words>1306</Words>
  <Characters>7449</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Lloyd Growth Equity Index</dc:title>
  <dc:subject>Calculation Documents &amp; Methodologies</dc:subject>
  <dc:creator>Solactive AG</dc:creator>
  <cp:keywords/>
  <dc:description/>
  <cp:lastModifiedBy>Pirlot, Louis</cp:lastModifiedBy>
  <cp:revision>3</cp:revision>
  <cp:lastPrinted>2018-12-10T16:54:00Z</cp:lastPrinted>
  <dcterms:created xsi:type="dcterms:W3CDTF">2025-07-11T18:34:00Z</dcterms:created>
  <dcterms:modified xsi:type="dcterms:W3CDTF">2025-07-11T19:21:00Z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