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F6FA5FD" w:rsidR="0092193A" w:rsidRPr="0097651D" w:rsidRDefault="002E18AC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SoFi US 500 Growth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CDC3D9D" w:rsidR="00466905" w:rsidRPr="00D902A1" w:rsidRDefault="002E18A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10-0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85539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02 October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5CDC3D9D" w:rsidR="00466905" w:rsidRPr="00D902A1" w:rsidRDefault="003C634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10-0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85539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02 October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052B4599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3C6345">
        <w:rPr>
          <w:lang w:val="en-GB"/>
        </w:rPr>
        <w:t xml:space="preserve">following </w:t>
      </w:r>
      <w:r w:rsidR="00E05994" w:rsidRPr="003C6345">
        <w:rPr>
          <w:lang w:val="en-US"/>
        </w:rPr>
        <w:t>Ind</w:t>
      </w:r>
      <w:r w:rsidR="00A97E61" w:rsidRPr="003C6345">
        <w:rPr>
          <w:lang w:val="en-US"/>
        </w:rPr>
        <w:t>ex</w:t>
      </w:r>
      <w:r w:rsidR="00E05994" w:rsidRPr="003C6345">
        <w:rPr>
          <w:lang w:val="en-US"/>
        </w:rPr>
        <w:t xml:space="preserve"> (the ‘Ind</w:t>
      </w:r>
      <w:r w:rsidR="00A97E61" w:rsidRPr="003C6345">
        <w:rPr>
          <w:lang w:val="en-US"/>
        </w:rPr>
        <w:t>ex</w:t>
      </w:r>
      <w:r w:rsidR="00E05994" w:rsidRPr="003C6345">
        <w:rPr>
          <w:lang w:val="en-US"/>
        </w:rPr>
        <w:t>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2FFF5F81" w:rsidR="00E05994" w:rsidRPr="003A1DD5" w:rsidRDefault="00855397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55397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SoFi US 500 Growth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7DA1D213" w:rsidR="00E05994" w:rsidRPr="003C6345" w:rsidRDefault="00855397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6E1E58">
              <w:rPr>
                <w:sz w:val="22"/>
                <w:szCs w:val="22"/>
                <w:lang w:val="en-US"/>
              </w:rPr>
              <w:t>.SOLSFY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64E76304" w:rsidR="00E05994" w:rsidRDefault="00855397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E1E58">
              <w:rPr>
                <w:sz w:val="22"/>
                <w:szCs w:val="22"/>
                <w:lang w:val="en-US"/>
              </w:rPr>
              <w:t>DE000SLA71W9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04967CF9" w:rsidR="00233B75" w:rsidRPr="003C6345" w:rsidRDefault="00855397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Solactive suggests the following changes to align with standard market practices and guarantee the diversification of the index. Solactive suggests to raise the rebalance frequency to semi-annual, and to raise the </w:t>
      </w:r>
      <w:r w:rsidRPr="003C6345">
        <w:rPr>
          <w:lang w:val="en-GB"/>
        </w:rPr>
        <w:t xml:space="preserve">winsorization thresholds to 20%-80%. The changes will allow to capture better momentums and will reduce the overweight due to outliers in growth factors. </w:t>
      </w:r>
    </w:p>
    <w:p w14:paraId="2BF4DE5A" w14:textId="77777777" w:rsidR="007E47D4" w:rsidRPr="003C6345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22C95611" w:rsidR="00F568D6" w:rsidRPr="003C6345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3C6345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3C6345">
        <w:rPr>
          <w:b/>
          <w:bCs/>
          <w:sz w:val="28"/>
          <w:szCs w:val="28"/>
          <w:u w:val="single"/>
          <w:lang w:val="en-GB"/>
        </w:rPr>
        <w:t>Change</w:t>
      </w:r>
      <w:r w:rsidR="00A64163" w:rsidRPr="003C6345">
        <w:rPr>
          <w:b/>
          <w:bCs/>
          <w:sz w:val="28"/>
          <w:szCs w:val="28"/>
          <w:u w:val="single"/>
        </w:rPr>
        <w:t>/</w:t>
      </w:r>
      <w:r w:rsidR="00C77B4F" w:rsidRPr="003C6345">
        <w:rPr>
          <w:b/>
          <w:bCs/>
          <w:sz w:val="28"/>
          <w:szCs w:val="28"/>
          <w:u w:val="single"/>
          <w:lang w:val="en-GB"/>
        </w:rPr>
        <w:t>(s</w:t>
      </w:r>
      <w:r w:rsidR="00C77B4F" w:rsidRPr="003C6345">
        <w:rPr>
          <w:b/>
          <w:bCs/>
          <w:sz w:val="28"/>
          <w:szCs w:val="28"/>
          <w:u w:val="single"/>
        </w:rPr>
        <w:t>)</w:t>
      </w:r>
      <w:r w:rsidR="00C77B4F" w:rsidRPr="003C6345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3C6345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6143CDC1" w:rsidR="004A428F" w:rsidRDefault="004A428F" w:rsidP="0026131F">
      <w:pPr>
        <w:spacing w:before="0" w:after="160" w:line="259" w:lineRule="auto"/>
        <w:rPr>
          <w:lang w:val="en-GB"/>
        </w:rPr>
      </w:pPr>
      <w:r w:rsidRPr="003C6345">
        <w:rPr>
          <w:lang w:val="en-GB"/>
        </w:rPr>
        <w:t>The following Methodology change</w:t>
      </w:r>
      <w:r w:rsidR="00A64163" w:rsidRPr="003C6345">
        <w:rPr>
          <w:lang w:val="en-GB"/>
        </w:rPr>
        <w:t>s</w:t>
      </w:r>
      <w:r w:rsidRPr="003C6345">
        <w:rPr>
          <w:lang w:val="en-GB"/>
        </w:rPr>
        <w:t xml:space="preserve"> are proposed in the following point</w:t>
      </w:r>
      <w:r w:rsidR="00A64163" w:rsidRPr="003C6345">
        <w:rPr>
          <w:lang w:val="en-GB"/>
        </w:rPr>
        <w:t>s</w:t>
      </w:r>
      <w:r w:rsidR="00A64163" w:rsidRPr="003C6345" w:rsidDel="00C77B4F">
        <w:rPr>
          <w:lang w:val="en-GB"/>
        </w:rPr>
        <w:t xml:space="preserve"> </w:t>
      </w:r>
      <w:r w:rsidR="00C32515" w:rsidRPr="003C6345">
        <w:rPr>
          <w:lang w:val="en-GB"/>
        </w:rPr>
        <w:t xml:space="preserve">of the Index Guideline </w:t>
      </w:r>
      <w:r w:rsidRPr="003C6345">
        <w:rPr>
          <w:lang w:val="en-GB"/>
        </w:rPr>
        <w:t>(ordered in accordance with the numbering of the affected sections):</w:t>
      </w:r>
    </w:p>
    <w:p w14:paraId="3DACDD1C" w14:textId="591FEA3E" w:rsidR="00855397" w:rsidRPr="003C6345" w:rsidRDefault="00855397" w:rsidP="002663E0">
      <w:pPr>
        <w:spacing w:before="0" w:after="160" w:line="259" w:lineRule="auto"/>
        <w:jc w:val="left"/>
        <w:rPr>
          <w:iCs/>
          <w:sz w:val="28"/>
          <w:szCs w:val="28"/>
          <w:lang w:val="en-GB"/>
        </w:rPr>
      </w:pPr>
      <w:r w:rsidRPr="003C6345">
        <w:rPr>
          <w:iCs/>
          <w:sz w:val="28"/>
          <w:szCs w:val="28"/>
          <w:lang w:val="en-GB"/>
        </w:rPr>
        <w:t>Section 1.1: Scope of the Index</w:t>
      </w:r>
    </w:p>
    <w:p w14:paraId="0E2BDCB3" w14:textId="7589EB21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From:</w:t>
      </w:r>
    </w:p>
    <w:p w14:paraId="7249EC2F" w14:textId="48225E65" w:rsidR="00855397" w:rsidRPr="003C6345" w:rsidRDefault="00855397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tbl>
      <w:tblPr>
        <w:tblW w:w="9630" w:type="dxa"/>
        <w:tblInd w:w="-10" w:type="dxa"/>
        <w:tblLook w:val="04A0" w:firstRow="1" w:lastRow="0" w:firstColumn="1" w:lastColumn="0" w:noHBand="0" w:noVBand="1"/>
      </w:tblPr>
      <w:tblGrid>
        <w:gridCol w:w="3330"/>
        <w:gridCol w:w="6300"/>
      </w:tblGrid>
      <w:tr w:rsidR="00855397" w:rsidRPr="006E1E58" w14:paraId="4EA1F84F" w14:textId="77777777" w:rsidTr="00FC268F">
        <w:trPr>
          <w:trHeight w:val="315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7D2C" w14:textId="5D713129" w:rsidR="00855397" w:rsidRPr="006E1E58" w:rsidRDefault="00855397" w:rsidP="00FC268F">
            <w:pPr>
              <w:spacing w:before="0" w:after="0"/>
              <w:jc w:val="left"/>
              <w:rPr>
                <w:lang w:val="en-US"/>
              </w:rPr>
            </w:pPr>
            <w:r w:rsidRPr="006E1E58">
              <w:rPr>
                <w:lang w:val="en-US"/>
              </w:rPr>
              <w:t>Regional Allocation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FCE16" w14:textId="77777777" w:rsidR="00855397" w:rsidRPr="006E1E58" w:rsidRDefault="00855397" w:rsidP="00FC268F">
            <w:pPr>
              <w:spacing w:before="0" w:after="0"/>
              <w:jc w:val="left"/>
              <w:rPr>
                <w:lang w:val="en-US"/>
              </w:rPr>
            </w:pPr>
            <w:r w:rsidRPr="006E1E58">
              <w:rPr>
                <w:lang w:val="en-US"/>
              </w:rPr>
              <w:t>US</w:t>
            </w:r>
          </w:p>
        </w:tc>
      </w:tr>
      <w:tr w:rsidR="00855397" w:rsidRPr="006E1E58" w14:paraId="5DA1D53B" w14:textId="77777777" w:rsidTr="00FC268F">
        <w:trPr>
          <w:trHeight w:val="315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FD221" w14:textId="77777777" w:rsidR="00855397" w:rsidRPr="006E1E58" w:rsidRDefault="00855397" w:rsidP="00FC268F">
            <w:pPr>
              <w:spacing w:before="0" w:after="0"/>
              <w:jc w:val="left"/>
              <w:rPr>
                <w:lang w:val="en-US"/>
              </w:rPr>
            </w:pPr>
            <w:r w:rsidRPr="006E1E58">
              <w:rPr>
                <w:lang w:val="en-US"/>
              </w:rPr>
              <w:t>Rebalancing Frequency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D173F" w14:textId="1CDEA084" w:rsidR="00855397" w:rsidRPr="006E1E58" w:rsidRDefault="00855397" w:rsidP="00FC268F">
            <w:pPr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Annual</w:t>
            </w:r>
          </w:p>
        </w:tc>
      </w:tr>
    </w:tbl>
    <w:p w14:paraId="74154A22" w14:textId="2F8AFCCF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3D259007" w14:textId="3218E2D3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To:</w:t>
      </w:r>
    </w:p>
    <w:p w14:paraId="71F0D693" w14:textId="69CDED47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tbl>
      <w:tblPr>
        <w:tblW w:w="9630" w:type="dxa"/>
        <w:tblInd w:w="-10" w:type="dxa"/>
        <w:tblLook w:val="04A0" w:firstRow="1" w:lastRow="0" w:firstColumn="1" w:lastColumn="0" w:noHBand="0" w:noVBand="1"/>
      </w:tblPr>
      <w:tblGrid>
        <w:gridCol w:w="3330"/>
        <w:gridCol w:w="6300"/>
      </w:tblGrid>
      <w:tr w:rsidR="00855397" w:rsidRPr="006E1E58" w14:paraId="71002AAC" w14:textId="77777777" w:rsidTr="00FC268F">
        <w:trPr>
          <w:trHeight w:val="315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121F" w14:textId="77777777" w:rsidR="00855397" w:rsidRPr="006E1E58" w:rsidRDefault="00855397" w:rsidP="00FC268F">
            <w:pPr>
              <w:spacing w:before="0" w:after="0"/>
              <w:jc w:val="left"/>
              <w:rPr>
                <w:lang w:val="en-US"/>
              </w:rPr>
            </w:pPr>
            <w:r w:rsidRPr="006E1E58">
              <w:rPr>
                <w:lang w:val="en-US"/>
              </w:rPr>
              <w:t>Regional Allocation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4EE20" w14:textId="77777777" w:rsidR="00855397" w:rsidRPr="006E1E58" w:rsidRDefault="00855397" w:rsidP="00FC268F">
            <w:pPr>
              <w:spacing w:before="0" w:after="0"/>
              <w:jc w:val="left"/>
              <w:rPr>
                <w:lang w:val="en-US"/>
              </w:rPr>
            </w:pPr>
            <w:r w:rsidRPr="006E1E58">
              <w:rPr>
                <w:lang w:val="en-US"/>
              </w:rPr>
              <w:t>US</w:t>
            </w:r>
          </w:p>
        </w:tc>
      </w:tr>
      <w:tr w:rsidR="00855397" w:rsidRPr="006E1E58" w14:paraId="753E35F4" w14:textId="77777777" w:rsidTr="00FC268F">
        <w:trPr>
          <w:trHeight w:val="315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1FBA7" w14:textId="77777777" w:rsidR="00855397" w:rsidRPr="006E1E58" w:rsidRDefault="00855397" w:rsidP="00FC268F">
            <w:pPr>
              <w:spacing w:before="0" w:after="0"/>
              <w:jc w:val="left"/>
              <w:rPr>
                <w:lang w:val="en-US"/>
              </w:rPr>
            </w:pPr>
            <w:r w:rsidRPr="006E1E58">
              <w:rPr>
                <w:lang w:val="en-US"/>
              </w:rPr>
              <w:t>Rebalancing Frequency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FF02F" w14:textId="5C6D0BD1" w:rsidR="00855397" w:rsidRPr="006E1E58" w:rsidRDefault="00855397" w:rsidP="00FC268F">
            <w:pPr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Semi-annual</w:t>
            </w:r>
          </w:p>
        </w:tc>
      </w:tr>
    </w:tbl>
    <w:p w14:paraId="2EC60E24" w14:textId="1B4897DA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724E9681" w14:textId="77777777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</w:p>
    <w:p w14:paraId="17F4B7E8" w14:textId="77777777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</w:p>
    <w:p w14:paraId="5D58162A" w14:textId="318DE6A5" w:rsidR="00855397" w:rsidRPr="003C6345" w:rsidRDefault="00855397" w:rsidP="002663E0">
      <w:pPr>
        <w:spacing w:before="0" w:after="160" w:line="259" w:lineRule="auto"/>
        <w:jc w:val="left"/>
        <w:rPr>
          <w:iCs/>
          <w:sz w:val="28"/>
          <w:szCs w:val="28"/>
          <w:lang w:val="en-GB"/>
        </w:rPr>
      </w:pPr>
      <w:r w:rsidRPr="003C6345">
        <w:rPr>
          <w:iCs/>
          <w:sz w:val="28"/>
          <w:szCs w:val="28"/>
          <w:lang w:val="en-GB"/>
        </w:rPr>
        <w:lastRenderedPageBreak/>
        <w:t>Section 2.3: Weighting of the Index Components</w:t>
      </w:r>
    </w:p>
    <w:p w14:paraId="297B5B8D" w14:textId="65523A9C" w:rsidR="00855397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From:</w:t>
      </w:r>
    </w:p>
    <w:p w14:paraId="26172990" w14:textId="1727F29F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19341A0B" w14:textId="1C91B639" w:rsidR="003E7A40" w:rsidRPr="003C6345" w:rsidRDefault="003E7A40" w:rsidP="003C6345">
      <w:pPr>
        <w:rPr>
          <w:lang w:val="en-US" w:eastAsia="en-US"/>
        </w:rPr>
      </w:pPr>
      <w:r w:rsidRPr="006E1E58">
        <w:rPr>
          <w:lang w:val="en-US" w:eastAsia="en-US"/>
        </w:rPr>
        <w:t xml:space="preserve">First, within each growth figure each data point is winsorized at the </w:t>
      </w:r>
      <w:r>
        <w:rPr>
          <w:lang w:val="en-US" w:eastAsia="en-US"/>
        </w:rPr>
        <w:t>2</w:t>
      </w:r>
      <w:r>
        <w:rPr>
          <w:vertAlign w:val="superscript"/>
          <w:lang w:val="en-US" w:eastAsia="en-US"/>
        </w:rPr>
        <w:t>nd</w:t>
      </w:r>
      <w:r>
        <w:rPr>
          <w:lang w:val="en-US" w:eastAsia="en-US"/>
        </w:rPr>
        <w:t xml:space="preserve"> </w:t>
      </w:r>
      <w:r w:rsidRPr="006E1E58">
        <w:rPr>
          <w:lang w:val="en-US" w:eastAsia="en-US"/>
        </w:rPr>
        <w:t xml:space="preserve">- and </w:t>
      </w:r>
      <w:r>
        <w:rPr>
          <w:lang w:val="en-US" w:eastAsia="en-US"/>
        </w:rPr>
        <w:t>98</w:t>
      </w:r>
      <w:r w:rsidRPr="007176D1">
        <w:rPr>
          <w:vertAlign w:val="superscript"/>
          <w:lang w:val="en-US" w:eastAsia="en-US"/>
        </w:rPr>
        <w:t>th</w:t>
      </w:r>
      <w:r>
        <w:rPr>
          <w:lang w:val="en-US" w:eastAsia="en-US"/>
        </w:rPr>
        <w:t xml:space="preserve"> </w:t>
      </w:r>
      <w:r w:rsidRPr="006E1E58">
        <w:rPr>
          <w:lang w:val="en-US" w:eastAsia="en-US"/>
        </w:rPr>
        <w:t xml:space="preserve">-percentile, i.e. each data point below the </w:t>
      </w:r>
      <w:r>
        <w:rPr>
          <w:lang w:val="en-US" w:eastAsia="en-US"/>
        </w:rPr>
        <w:t>2</w:t>
      </w:r>
      <w:r>
        <w:rPr>
          <w:vertAlign w:val="superscript"/>
          <w:lang w:val="en-US" w:eastAsia="en-US"/>
        </w:rPr>
        <w:t>nd</w:t>
      </w:r>
      <w:r>
        <w:rPr>
          <w:lang w:val="en-US" w:eastAsia="en-US"/>
        </w:rPr>
        <w:t xml:space="preserve"> </w:t>
      </w:r>
      <w:r w:rsidRPr="006E1E58">
        <w:rPr>
          <w:lang w:val="en-US" w:eastAsia="en-US"/>
        </w:rPr>
        <w:t xml:space="preserve">percentile is set to the </w:t>
      </w:r>
      <w:r w:rsidR="003C6345" w:rsidRPr="006E1E58">
        <w:rPr>
          <w:lang w:val="en-US" w:eastAsia="en-US"/>
        </w:rPr>
        <w:t>2</w:t>
      </w:r>
      <w:r w:rsidR="003C6345">
        <w:rPr>
          <w:vertAlign w:val="superscript"/>
          <w:lang w:val="en-US" w:eastAsia="en-US"/>
        </w:rPr>
        <w:t>nd</w:t>
      </w:r>
      <w:r w:rsidRPr="006E1E58">
        <w:rPr>
          <w:lang w:val="en-US" w:eastAsia="en-US"/>
        </w:rPr>
        <w:t xml:space="preserve"> percentile and each data point above the </w:t>
      </w:r>
      <w:r>
        <w:rPr>
          <w:lang w:val="en-US" w:eastAsia="en-US"/>
        </w:rPr>
        <w:t>98</w:t>
      </w:r>
      <w:r w:rsidRPr="007176D1">
        <w:rPr>
          <w:vertAlign w:val="superscript"/>
          <w:lang w:val="en-US" w:eastAsia="en-US"/>
        </w:rPr>
        <w:t>th</w:t>
      </w:r>
      <w:r w:rsidRPr="006E1E58">
        <w:rPr>
          <w:lang w:val="en-US" w:eastAsia="en-US"/>
        </w:rPr>
        <w:t xml:space="preserve"> percentile is set to the </w:t>
      </w:r>
      <w:r>
        <w:rPr>
          <w:lang w:val="en-US" w:eastAsia="en-US"/>
        </w:rPr>
        <w:t>98</w:t>
      </w:r>
      <w:r w:rsidRPr="007176D1">
        <w:rPr>
          <w:vertAlign w:val="superscript"/>
          <w:lang w:val="en-US" w:eastAsia="en-US"/>
        </w:rPr>
        <w:t>th</w:t>
      </w:r>
      <w:r w:rsidRPr="006E1E58">
        <w:rPr>
          <w:lang w:val="en-US" w:eastAsia="en-US"/>
        </w:rPr>
        <w:t xml:space="preserve"> percentile.</w:t>
      </w:r>
    </w:p>
    <w:p w14:paraId="6980B48F" w14:textId="33CACCA9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46EE6524" w14:textId="77777777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</w:p>
    <w:p w14:paraId="0D0E68B7" w14:textId="25A6A015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To:</w:t>
      </w:r>
    </w:p>
    <w:p w14:paraId="0E2AFEB4" w14:textId="61BBC8A8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06E7BBED" w14:textId="77777777" w:rsidR="003E7A40" w:rsidRPr="006E1E58" w:rsidRDefault="003E7A40" w:rsidP="003E7A40">
      <w:pPr>
        <w:rPr>
          <w:lang w:val="en-US" w:eastAsia="en-US"/>
        </w:rPr>
      </w:pPr>
      <w:r w:rsidRPr="006E1E58">
        <w:rPr>
          <w:lang w:val="en-US" w:eastAsia="en-US"/>
        </w:rPr>
        <w:t xml:space="preserve">First, within each growth figure each data point is winsorized at the </w:t>
      </w:r>
      <w:r>
        <w:rPr>
          <w:lang w:val="en-US" w:eastAsia="en-US"/>
        </w:rPr>
        <w:t>20</w:t>
      </w:r>
      <w:r>
        <w:rPr>
          <w:vertAlign w:val="superscript"/>
          <w:lang w:val="en-US" w:eastAsia="en-US"/>
        </w:rPr>
        <w:t>th</w:t>
      </w:r>
      <w:r>
        <w:rPr>
          <w:lang w:val="en-US" w:eastAsia="en-US"/>
        </w:rPr>
        <w:t xml:space="preserve"> </w:t>
      </w:r>
      <w:r w:rsidRPr="006E1E58">
        <w:rPr>
          <w:lang w:val="en-US" w:eastAsia="en-US"/>
        </w:rPr>
        <w:t xml:space="preserve">- and </w:t>
      </w:r>
      <w:r>
        <w:rPr>
          <w:lang w:val="en-US" w:eastAsia="en-US"/>
        </w:rPr>
        <w:t>80</w:t>
      </w:r>
      <w:r w:rsidRPr="007176D1">
        <w:rPr>
          <w:vertAlign w:val="superscript"/>
          <w:lang w:val="en-US" w:eastAsia="en-US"/>
        </w:rPr>
        <w:t>th</w:t>
      </w:r>
      <w:r>
        <w:rPr>
          <w:lang w:val="en-US" w:eastAsia="en-US"/>
        </w:rPr>
        <w:t xml:space="preserve"> </w:t>
      </w:r>
      <w:r w:rsidRPr="006E1E58">
        <w:rPr>
          <w:lang w:val="en-US" w:eastAsia="en-US"/>
        </w:rPr>
        <w:t xml:space="preserve">-percentile, i.e. each data point below the </w:t>
      </w:r>
      <w:r>
        <w:rPr>
          <w:lang w:val="en-US" w:eastAsia="en-US"/>
        </w:rPr>
        <w:t>20</w:t>
      </w:r>
      <w:r>
        <w:rPr>
          <w:vertAlign w:val="superscript"/>
          <w:lang w:val="en-US" w:eastAsia="en-US"/>
        </w:rPr>
        <w:t>th</w:t>
      </w:r>
      <w:r>
        <w:rPr>
          <w:lang w:val="en-US" w:eastAsia="en-US"/>
        </w:rPr>
        <w:t xml:space="preserve"> </w:t>
      </w:r>
      <w:r w:rsidRPr="006E1E58">
        <w:rPr>
          <w:lang w:val="en-US" w:eastAsia="en-US"/>
        </w:rPr>
        <w:t>percentile is set to the 2</w:t>
      </w:r>
      <w:r>
        <w:rPr>
          <w:lang w:val="en-US" w:eastAsia="en-US"/>
        </w:rPr>
        <w:t>0</w:t>
      </w:r>
      <w:r>
        <w:rPr>
          <w:vertAlign w:val="superscript"/>
          <w:lang w:val="en-US" w:eastAsia="en-US"/>
        </w:rPr>
        <w:t>th</w:t>
      </w:r>
      <w:r w:rsidRPr="006E1E58">
        <w:rPr>
          <w:lang w:val="en-US" w:eastAsia="en-US"/>
        </w:rPr>
        <w:t xml:space="preserve"> percentile and each data point above the </w:t>
      </w:r>
      <w:r>
        <w:rPr>
          <w:lang w:val="en-US" w:eastAsia="en-US"/>
        </w:rPr>
        <w:t>80</w:t>
      </w:r>
      <w:r w:rsidRPr="007176D1">
        <w:rPr>
          <w:vertAlign w:val="superscript"/>
          <w:lang w:val="en-US" w:eastAsia="en-US"/>
        </w:rPr>
        <w:t>th</w:t>
      </w:r>
      <w:r w:rsidRPr="006E1E58">
        <w:rPr>
          <w:lang w:val="en-US" w:eastAsia="en-US"/>
        </w:rPr>
        <w:t xml:space="preserve"> percentile is set to the </w:t>
      </w:r>
      <w:r>
        <w:rPr>
          <w:lang w:val="en-US" w:eastAsia="en-US"/>
        </w:rPr>
        <w:t>80</w:t>
      </w:r>
      <w:r w:rsidRPr="007176D1">
        <w:rPr>
          <w:vertAlign w:val="superscript"/>
          <w:lang w:val="en-US" w:eastAsia="en-US"/>
        </w:rPr>
        <w:t>th</w:t>
      </w:r>
      <w:r w:rsidRPr="006E1E58">
        <w:rPr>
          <w:lang w:val="en-US" w:eastAsia="en-US"/>
        </w:rPr>
        <w:t xml:space="preserve"> percentile.</w:t>
      </w:r>
    </w:p>
    <w:p w14:paraId="74D9D74A" w14:textId="72EA2104" w:rsidR="003E7A40" w:rsidRPr="003C6345" w:rsidRDefault="003E7A40" w:rsidP="002663E0">
      <w:pPr>
        <w:spacing w:before="0" w:after="160" w:line="259" w:lineRule="auto"/>
        <w:jc w:val="left"/>
        <w:rPr>
          <w:iCs/>
          <w:lang w:val="en-US"/>
        </w:rPr>
      </w:pPr>
      <w:r>
        <w:rPr>
          <w:iCs/>
          <w:lang w:val="en-US"/>
        </w:rPr>
        <w:t>[…]</w:t>
      </w:r>
    </w:p>
    <w:p w14:paraId="28BF5466" w14:textId="77777777" w:rsidR="00855397" w:rsidRDefault="00855397" w:rsidP="002663E0">
      <w:pPr>
        <w:spacing w:before="0" w:after="160" w:line="259" w:lineRule="auto"/>
        <w:jc w:val="left"/>
        <w:rPr>
          <w:iCs/>
          <w:lang w:val="en-GB"/>
        </w:rPr>
      </w:pPr>
    </w:p>
    <w:p w14:paraId="14555187" w14:textId="0860DB23" w:rsidR="003E7A40" w:rsidRPr="003C6345" w:rsidRDefault="003E7A40" w:rsidP="002663E0">
      <w:pPr>
        <w:spacing w:before="0" w:after="160" w:line="259" w:lineRule="auto"/>
        <w:jc w:val="left"/>
        <w:rPr>
          <w:iCs/>
          <w:sz w:val="28"/>
          <w:szCs w:val="28"/>
          <w:lang w:val="en-GB"/>
        </w:rPr>
      </w:pPr>
      <w:r w:rsidRPr="003C6345">
        <w:rPr>
          <w:iCs/>
          <w:sz w:val="28"/>
          <w:szCs w:val="28"/>
          <w:lang w:val="en-GB"/>
        </w:rPr>
        <w:t>Section 6. Definitions</w:t>
      </w:r>
    </w:p>
    <w:p w14:paraId="7A753D07" w14:textId="1B757A52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From</w:t>
      </w:r>
    </w:p>
    <w:p w14:paraId="4B2FA206" w14:textId="00CF7CF5" w:rsidR="003E7A40" w:rsidRDefault="003E7A40" w:rsidP="002663E0">
      <w:pPr>
        <w:spacing w:before="0" w:after="160" w:line="259" w:lineRule="auto"/>
        <w:jc w:val="left"/>
        <w:rPr>
          <w:iCs/>
          <w:lang w:val="en-GB"/>
        </w:rPr>
      </w:pPr>
      <w:r>
        <w:rPr>
          <w:iCs/>
          <w:lang w:val="en-GB"/>
        </w:rPr>
        <w:t>[…]</w:t>
      </w:r>
    </w:p>
    <w:p w14:paraId="2F44E825" w14:textId="54B04624" w:rsidR="003E7A40" w:rsidRPr="006E1E58" w:rsidRDefault="003E7A40" w:rsidP="003E7A40">
      <w:pPr>
        <w:rPr>
          <w:lang w:val="en-US"/>
        </w:rPr>
      </w:pPr>
      <w:r w:rsidRPr="006E1E58">
        <w:rPr>
          <w:lang w:val="en-US"/>
        </w:rPr>
        <w:t>“</w:t>
      </w:r>
      <w:r w:rsidRPr="006E1E58">
        <w:rPr>
          <w:rFonts w:ascii="Flama Semicondensed Medium" w:hAnsi="Flama Semicondensed Medium"/>
          <w:smallCaps/>
          <w:lang w:val="en-US"/>
        </w:rPr>
        <w:t>Rebalance Day</w:t>
      </w:r>
      <w:r w:rsidRPr="006E1E58">
        <w:rPr>
          <w:lang w:val="en-US"/>
        </w:rPr>
        <w:t xml:space="preserve">” is the first Wednesday in </w:t>
      </w:r>
      <w:r>
        <w:rPr>
          <w:lang w:val="en-US"/>
        </w:rPr>
        <w:t>November.</w:t>
      </w:r>
    </w:p>
    <w:p w14:paraId="2F9FD1E2" w14:textId="7B754DBF" w:rsidR="003E7A40" w:rsidRDefault="003E7A40" w:rsidP="002663E0">
      <w:pPr>
        <w:spacing w:before="0" w:after="160" w:line="259" w:lineRule="auto"/>
        <w:jc w:val="left"/>
        <w:rPr>
          <w:iCs/>
          <w:lang w:val="en-US"/>
        </w:rPr>
      </w:pPr>
      <w:r>
        <w:rPr>
          <w:iCs/>
          <w:lang w:val="en-US"/>
        </w:rPr>
        <w:t>[…]</w:t>
      </w:r>
    </w:p>
    <w:p w14:paraId="189D48F9" w14:textId="1BA69B4A" w:rsidR="003E7A40" w:rsidRDefault="003E7A40" w:rsidP="002663E0">
      <w:pPr>
        <w:spacing w:before="0" w:after="160" w:line="259" w:lineRule="auto"/>
        <w:jc w:val="left"/>
        <w:rPr>
          <w:iCs/>
          <w:lang w:val="en-US"/>
        </w:rPr>
      </w:pPr>
      <w:r>
        <w:rPr>
          <w:iCs/>
          <w:lang w:val="en-US"/>
        </w:rPr>
        <w:t>To</w:t>
      </w:r>
    </w:p>
    <w:p w14:paraId="48BFCBD3" w14:textId="48A24019" w:rsidR="003E7A40" w:rsidRPr="003C6345" w:rsidRDefault="003E7A40" w:rsidP="002663E0">
      <w:pPr>
        <w:spacing w:before="0" w:after="160" w:line="259" w:lineRule="auto"/>
        <w:jc w:val="left"/>
        <w:rPr>
          <w:iCs/>
          <w:lang w:val="en-US"/>
        </w:rPr>
      </w:pPr>
      <w:r>
        <w:rPr>
          <w:iCs/>
          <w:lang w:val="en-US"/>
        </w:rPr>
        <w:t>[…]</w:t>
      </w:r>
    </w:p>
    <w:p w14:paraId="60EE1056" w14:textId="77777777" w:rsidR="003E7A40" w:rsidRPr="006E1E58" w:rsidRDefault="003E7A40" w:rsidP="003E7A40">
      <w:pPr>
        <w:rPr>
          <w:lang w:val="en-US"/>
        </w:rPr>
      </w:pPr>
      <w:r w:rsidRPr="006E1E58">
        <w:rPr>
          <w:lang w:val="en-US"/>
        </w:rPr>
        <w:t>“</w:t>
      </w:r>
      <w:r w:rsidRPr="006E1E58">
        <w:rPr>
          <w:rFonts w:ascii="Flama Semicondensed Medium" w:hAnsi="Flama Semicondensed Medium"/>
          <w:smallCaps/>
          <w:lang w:val="en-US"/>
        </w:rPr>
        <w:t>Rebalance Day</w:t>
      </w:r>
      <w:r w:rsidRPr="006E1E58">
        <w:rPr>
          <w:lang w:val="en-US"/>
        </w:rPr>
        <w:t>” is the first Wednesday in May</w:t>
      </w:r>
      <w:r>
        <w:rPr>
          <w:lang w:val="en-US"/>
        </w:rPr>
        <w:t xml:space="preserve"> and November.</w:t>
      </w:r>
    </w:p>
    <w:p w14:paraId="673F5B51" w14:textId="59F220EC" w:rsidR="003E7A40" w:rsidRDefault="003E7A40" w:rsidP="002663E0">
      <w:pPr>
        <w:spacing w:before="0" w:after="160" w:line="259" w:lineRule="auto"/>
        <w:jc w:val="left"/>
        <w:rPr>
          <w:iCs/>
          <w:lang w:val="en-US"/>
        </w:rPr>
      </w:pPr>
      <w:r>
        <w:rPr>
          <w:iCs/>
          <w:lang w:val="en-US"/>
        </w:rPr>
        <w:t>[…]</w:t>
      </w:r>
    </w:p>
    <w:p w14:paraId="74158F92" w14:textId="77777777" w:rsidR="003E7A40" w:rsidRPr="003C6345" w:rsidRDefault="003E7A40" w:rsidP="002663E0">
      <w:pPr>
        <w:spacing w:before="0" w:after="160" w:line="259" w:lineRule="auto"/>
        <w:jc w:val="left"/>
        <w:rPr>
          <w:iCs/>
          <w:lang w:val="en-US"/>
        </w:rPr>
      </w:pPr>
    </w:p>
    <w:p w14:paraId="45154AF2" w14:textId="07D24575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52D3625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3C6345">
        <w:rPr>
          <w:lang w:val="en-US"/>
        </w:rPr>
        <w:t>Solactive SoFi US 500 Growth Index</w:t>
      </w:r>
      <w:r w:rsidR="003C6345" w:rsidRPr="003C6345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007A201A" w:rsidR="005055F5" w:rsidRDefault="005055F5" w:rsidP="005055F5">
      <w:pPr>
        <w:spacing w:before="0" w:after="0" w:line="360" w:lineRule="auto"/>
        <w:rPr>
          <w:lang w:val="en-US"/>
        </w:rPr>
      </w:pPr>
      <w:r w:rsidRPr="003C6345">
        <w:rPr>
          <w:lang w:val="en-US"/>
        </w:rPr>
        <w:t xml:space="preserve">Stakeholders and third parties who are interested in participating in this Market Consultation, are invited to respond until </w:t>
      </w:r>
      <w:r w:rsidR="00110E04" w:rsidRPr="003C6345">
        <w:rPr>
          <w:i/>
          <w:lang w:val="en-US"/>
        </w:rPr>
        <w:t>2024-10-16</w:t>
      </w:r>
      <w:r w:rsidRPr="003C6345">
        <w:rPr>
          <w:lang w:val="en-US"/>
        </w:rPr>
        <w:t>.</w:t>
      </w:r>
    </w:p>
    <w:p w14:paraId="741A56A5" w14:textId="4C1E5BA4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110E04">
        <w:rPr>
          <w:i/>
          <w:lang w:val="en-US"/>
        </w:rPr>
        <w:t>2024-10-1</w:t>
      </w:r>
      <w:r w:rsidR="002E18AC">
        <w:rPr>
          <w:i/>
          <w:lang w:val="en-US"/>
        </w:rPr>
        <w:t>7</w:t>
      </w:r>
      <w:r w:rsidR="004819FA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2F4CBB57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110E04" w:rsidRPr="00110E04">
        <w:rPr>
          <w:lang w:val="en-US"/>
        </w:rPr>
        <w:t>Solactive SoFi US 500 Growth Index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68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68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151732-C0FC-4FA1-BCD0-58007A96E3DE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3E2B9419-2571-480A-85DF-C6B4C7D75918}"/>
    <w:embedBold r:id="rId3" w:fontKey="{B8B82078-3F6C-4CCC-AEAB-A12770B91B6A}"/>
    <w:embedItalic r:id="rId4" w:fontKey="{23572868-AB82-474D-94EA-112B6AF629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AC85003-DFBC-41B1-AE9C-E7E1B13C82B2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5117B046-C24D-49EE-95E5-6D008388AE4F}"/>
    <w:embedBold r:id="rId7" w:fontKey="{E48F3E6D-6D5B-4A73-9520-ECA8CA291F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4068390-35FD-49C8-8971-E85B3E197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22B16EAE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E18AC">
          <w:rPr>
            <w:lang w:val="en-US"/>
          </w:rPr>
          <w:t>Market Consultation Solactive SoFi US 500 Growth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25.9pt;height:19.9pt" o:bullet="t">
        <v:imagedata r:id="rId1" o:title="S_Icons-Haken_02"/>
      </v:shape>
    </w:pict>
  </w:numPicBullet>
  <w:numPicBullet w:numPicBulletId="1">
    <w:pict>
      <v:shape id="_x0000_i1159" type="#_x0000_t75" style="width:19.9pt;height:19.9pt" o:bullet="t">
        <v:imagedata r:id="rId2" o:title="S_Icons-Pfeil_02"/>
      </v:shape>
    </w:pict>
  </w:numPicBullet>
  <w:numPicBullet w:numPicBulletId="2">
    <w:pict>
      <v:shape id="_x0000_i1160" type="#_x0000_t75" style="width:15.35pt;height:15.85pt" o:bullet="t">
        <v:imagedata r:id="rId3" o:title="Bullet_2_Indices_Small"/>
      </v:shape>
    </w:pict>
  </w:numPicBullet>
  <w:numPicBullet w:numPicBulletId="3">
    <w:pict>
      <v:shape id="_x0000_i116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070382">
    <w:abstractNumId w:val="5"/>
  </w:num>
  <w:num w:numId="2" w16cid:durableId="1620987722">
    <w:abstractNumId w:val="6"/>
  </w:num>
  <w:num w:numId="3" w16cid:durableId="1395540177">
    <w:abstractNumId w:val="15"/>
  </w:num>
  <w:num w:numId="4" w16cid:durableId="2088725760">
    <w:abstractNumId w:val="19"/>
  </w:num>
  <w:num w:numId="5" w16cid:durableId="43062551">
    <w:abstractNumId w:val="14"/>
  </w:num>
  <w:num w:numId="6" w16cid:durableId="1799641143">
    <w:abstractNumId w:val="7"/>
  </w:num>
  <w:num w:numId="7" w16cid:durableId="2136484897">
    <w:abstractNumId w:val="18"/>
  </w:num>
  <w:num w:numId="8" w16cid:durableId="2037388421">
    <w:abstractNumId w:val="3"/>
  </w:num>
  <w:num w:numId="9" w16cid:durableId="1827938956">
    <w:abstractNumId w:val="12"/>
  </w:num>
  <w:num w:numId="10" w16cid:durableId="1857036243">
    <w:abstractNumId w:val="11"/>
  </w:num>
  <w:num w:numId="11" w16cid:durableId="321616543">
    <w:abstractNumId w:val="2"/>
  </w:num>
  <w:num w:numId="12" w16cid:durableId="1568959027">
    <w:abstractNumId w:val="1"/>
  </w:num>
  <w:num w:numId="13" w16cid:durableId="1939025599">
    <w:abstractNumId w:val="13"/>
  </w:num>
  <w:num w:numId="14" w16cid:durableId="478310382">
    <w:abstractNumId w:val="9"/>
  </w:num>
  <w:num w:numId="15" w16cid:durableId="417675775">
    <w:abstractNumId w:val="4"/>
  </w:num>
  <w:num w:numId="16" w16cid:durableId="984547348">
    <w:abstractNumId w:val="10"/>
  </w:num>
  <w:num w:numId="17" w16cid:durableId="1419715388">
    <w:abstractNumId w:val="20"/>
  </w:num>
  <w:num w:numId="18" w16cid:durableId="1698113917">
    <w:abstractNumId w:val="8"/>
  </w:num>
  <w:num w:numId="19" w16cid:durableId="1883905738">
    <w:abstractNumId w:val="16"/>
  </w:num>
  <w:num w:numId="20" w16cid:durableId="318389003">
    <w:abstractNumId w:val="17"/>
  </w:num>
  <w:num w:numId="21" w16cid:durableId="608784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0E04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18AC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C6345"/>
    <w:rsid w:val="003D0D25"/>
    <w:rsid w:val="003D0F21"/>
    <w:rsid w:val="003E3204"/>
    <w:rsid w:val="003E7A40"/>
    <w:rsid w:val="003F570C"/>
    <w:rsid w:val="0040784E"/>
    <w:rsid w:val="00420437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A29D6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55397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1A80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855397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yperlink" Target="mailto:info@solactive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DD1A80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477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SoFi US 500 Growth Index</dc:title>
  <dc:subject>Calculation Documents &amp; Methodologies</dc:subject>
  <dc:creator>Solactive AG</dc:creator>
  <cp:keywords/>
  <dc:description/>
  <cp:lastModifiedBy>Pirlot, Louis</cp:lastModifiedBy>
  <cp:revision>19</cp:revision>
  <cp:lastPrinted>2018-12-10T16:54:00Z</cp:lastPrinted>
  <dcterms:created xsi:type="dcterms:W3CDTF">2021-11-16T06:38:00Z</dcterms:created>
  <dcterms:modified xsi:type="dcterms:W3CDTF">2024-10-02T14:42:00Z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