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1335949" w:displacedByCustomXml="next"/>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53DDE5E" w:rsidR="0092193A" w:rsidRPr="0097651D" w:rsidRDefault="00D93CA2" w:rsidP="0092193A">
              <w:pPr>
                <w:pStyle w:val="Title"/>
                <w:rPr>
                  <w:lang w:val="en-US"/>
                </w:rPr>
              </w:pPr>
              <w:r w:rsidRPr="00D76406">
                <w:rPr>
                  <w:color w:val="FFFFFF" w:themeColor="background1"/>
                  <w:lang w:val="en-US"/>
                </w:rPr>
                <w:t xml:space="preserve">Market Consultation </w:t>
              </w:r>
              <w:r>
                <w:rPr>
                  <w:color w:val="FFFFFF" w:themeColor="background1"/>
                  <w:lang w:val="en-US"/>
                </w:rPr>
                <w:t xml:space="preserve">– CONVERSION OF ADR TO </w:t>
              </w:r>
              <w:r w:rsidR="00ED673E">
                <w:rPr>
                  <w:color w:val="FFFFFF" w:themeColor="background1"/>
                  <w:lang w:val="en-US"/>
                </w:rPr>
                <w:t>ORDINARY SHARES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3698414" w:rsidR="00466905" w:rsidRPr="00D902A1" w:rsidRDefault="001B13E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1-21T00:00:00Z">
                                      <w:dateFormat w:val="dd MMMM yyyy"/>
                                      <w:lid w:val="en-GB"/>
                                      <w:storeMappedDataAs w:val="dateTime"/>
                                      <w:calendar w:val="gregorian"/>
                                    </w:date>
                                  </w:sdtPr>
                                  <w:sdtEndPr/>
                                  <w:sdtContent>
                                    <w:r w:rsidR="00ED673E">
                                      <w:rPr>
                                        <w:color w:val="FFFFFF" w:themeColor="background1"/>
                                        <w:sz w:val="26"/>
                                        <w:szCs w:val="26"/>
                                        <w:lang w:val="en-GB"/>
                                      </w:rPr>
                                      <w:t>21 November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3698414" w:rsidR="00466905" w:rsidRPr="00D902A1" w:rsidRDefault="001B13E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1-21T00:00:00Z">
                                <w:dateFormat w:val="dd MMMM yyyy"/>
                                <w:lid w:val="en-GB"/>
                                <w:storeMappedDataAs w:val="dateTime"/>
                                <w:calendar w:val="gregorian"/>
                              </w:date>
                            </w:sdtPr>
                            <w:sdtEndPr/>
                            <w:sdtContent>
                              <w:r w:rsidR="00ED673E">
                                <w:rPr>
                                  <w:color w:val="FFFFFF" w:themeColor="background1"/>
                                  <w:sz w:val="26"/>
                                  <w:szCs w:val="26"/>
                                  <w:lang w:val="en-GB"/>
                                </w:rPr>
                                <w:t>21 November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117FCE0D"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r w:rsidR="006E4581">
        <w:rPr>
          <w:lang w:val="en-GB"/>
        </w:rPr>
        <w:t xml:space="preserve">regarding its methodology to remove </w:t>
      </w:r>
      <w:r w:rsidR="0099755E">
        <w:rPr>
          <w:lang w:val="en-GB"/>
        </w:rPr>
        <w:t xml:space="preserve">and replace </w:t>
      </w:r>
      <w:r w:rsidR="006E4581">
        <w:rPr>
          <w:lang w:val="en-GB"/>
        </w:rPr>
        <w:t>ADRs with their</w:t>
      </w:r>
      <w:r w:rsidR="00D93CA2">
        <w:rPr>
          <w:lang w:val="en-GB"/>
        </w:rPr>
        <w:t xml:space="preserve"> </w:t>
      </w:r>
      <w:r w:rsidR="00ED673E">
        <w:rPr>
          <w:lang w:val="en-GB"/>
        </w:rPr>
        <w:t>underlying ordinary shares</w:t>
      </w:r>
      <w:r w:rsidR="00A65514">
        <w:rPr>
          <w:lang w:val="en-GB"/>
        </w:rPr>
        <w:t xml:space="preserve"> in an index rebalan</w:t>
      </w:r>
      <w:r w:rsidR="0099755E">
        <w:rPr>
          <w:lang w:val="en-GB"/>
        </w:rPr>
        <w:t>c</w:t>
      </w:r>
      <w:r w:rsidR="00A65514">
        <w:rPr>
          <w:lang w:val="en-GB"/>
        </w:rPr>
        <w:t>e</w:t>
      </w:r>
      <w:r w:rsidR="006E4581">
        <w:rPr>
          <w:lang w:val="en-GB"/>
        </w:rPr>
        <w:t>. The methodology in consultation is applicable to all indices administered by Solactive AG</w:t>
      </w:r>
      <w:r w:rsidR="000A3C9A">
        <w:rPr>
          <w:lang w:val="en-GB"/>
        </w:rPr>
        <w:t>.</w:t>
      </w:r>
    </w:p>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sidRPr="00DF47B8">
        <w:rPr>
          <w:b/>
          <w:bCs/>
          <w:sz w:val="28"/>
          <w:szCs w:val="28"/>
          <w:u w:val="single"/>
          <w:lang w:val="en-US"/>
        </w:rPr>
        <w:t xml:space="preserve">the </w:t>
      </w:r>
      <w:r w:rsidR="004D6535" w:rsidRPr="0026131F">
        <w:rPr>
          <w:b/>
          <w:bCs/>
          <w:sz w:val="28"/>
          <w:szCs w:val="28"/>
          <w:u w:val="single"/>
          <w:lang w:val="en-GB"/>
        </w:rPr>
        <w:t>Market Consultation</w:t>
      </w:r>
    </w:p>
    <w:p w14:paraId="5AE02D9F" w14:textId="4215BA36" w:rsidR="006E4581" w:rsidRPr="00DF47B8" w:rsidRDefault="000502B1" w:rsidP="006E4581">
      <w:pPr>
        <w:rPr>
          <w:lang w:val="en-US"/>
        </w:rPr>
      </w:pPr>
      <w:r w:rsidRPr="00DF47B8">
        <w:rPr>
          <w:b/>
          <w:bCs/>
          <w:lang w:val="en-US"/>
        </w:rPr>
        <w:t xml:space="preserve">Background </w:t>
      </w:r>
      <w:r w:rsidR="0099755E" w:rsidRPr="00DF47B8">
        <w:rPr>
          <w:b/>
          <w:bCs/>
          <w:lang w:val="en-US"/>
        </w:rPr>
        <w:t xml:space="preserve">on ADR Fungibility </w:t>
      </w:r>
      <w:r w:rsidRPr="00DF47B8">
        <w:rPr>
          <w:b/>
          <w:bCs/>
          <w:lang w:val="en-US"/>
        </w:rPr>
        <w:t xml:space="preserve">- </w:t>
      </w:r>
      <w:r w:rsidR="006E4581" w:rsidRPr="00DF47B8">
        <w:rPr>
          <w:lang w:val="en-US"/>
        </w:rPr>
        <w:t xml:space="preserve">ADRs and their </w:t>
      </w:r>
      <w:r w:rsidR="00ED673E">
        <w:rPr>
          <w:lang w:val="en-US"/>
        </w:rPr>
        <w:t xml:space="preserve">underlying </w:t>
      </w:r>
      <w:r w:rsidR="00ED673E">
        <w:rPr>
          <w:lang w:val="en-GB"/>
        </w:rPr>
        <w:t xml:space="preserve">ordinary shares </w:t>
      </w:r>
      <w:r w:rsidR="0099755E" w:rsidRPr="00DF47B8">
        <w:rPr>
          <w:lang w:val="en-US"/>
        </w:rPr>
        <w:t xml:space="preserve">may </w:t>
      </w:r>
      <w:r w:rsidR="006E4581" w:rsidRPr="00DF47B8">
        <w:rPr>
          <w:lang w:val="en-US"/>
        </w:rPr>
        <w:t xml:space="preserve">have </w:t>
      </w:r>
      <w:r w:rsidR="003D6D7D">
        <w:rPr>
          <w:lang w:val="en-US"/>
        </w:rPr>
        <w:t xml:space="preserve">a </w:t>
      </w:r>
      <w:r w:rsidR="006E4581" w:rsidRPr="00DF47B8">
        <w:rPr>
          <w:lang w:val="en-US"/>
        </w:rPr>
        <w:t xml:space="preserve">fungibility feature, where a share of the ADR can be converted to a certain </w:t>
      </w:r>
      <w:r w:rsidR="000A3C9A">
        <w:rPr>
          <w:lang w:val="en-US"/>
        </w:rPr>
        <w:t>quantity</w:t>
      </w:r>
      <w:r w:rsidR="006E4581" w:rsidRPr="00DF47B8">
        <w:rPr>
          <w:lang w:val="en-US"/>
        </w:rPr>
        <w:t xml:space="preserve"> of the </w:t>
      </w:r>
      <w:r w:rsidR="00ED673E">
        <w:rPr>
          <w:lang w:val="en-US"/>
        </w:rPr>
        <w:t>ordinary shares</w:t>
      </w:r>
      <w:r w:rsidR="006E4581" w:rsidRPr="00DF47B8">
        <w:rPr>
          <w:lang w:val="en-US"/>
        </w:rPr>
        <w:t xml:space="preserve"> based on a fixed conversion ratio, and vice versa. </w:t>
      </w:r>
      <w:r w:rsidR="00610104" w:rsidRPr="00DF47B8">
        <w:rPr>
          <w:lang w:val="en-US"/>
        </w:rPr>
        <w:t xml:space="preserve">For instance, </w:t>
      </w:r>
      <w:r w:rsidR="00F8359A" w:rsidRPr="00DF47B8">
        <w:rPr>
          <w:lang w:val="en-US"/>
        </w:rPr>
        <w:t>1</w:t>
      </w:r>
      <w:r w:rsidR="00610104" w:rsidRPr="00DF47B8">
        <w:rPr>
          <w:lang w:val="en-US"/>
        </w:rPr>
        <w:t xml:space="preserve"> share of BABA-US </w:t>
      </w:r>
      <w:r w:rsidR="000A3C9A">
        <w:rPr>
          <w:lang w:val="en-US"/>
        </w:rPr>
        <w:t xml:space="preserve">(Alibaba Group Holding Ltd) </w:t>
      </w:r>
      <w:r w:rsidR="00610104" w:rsidRPr="00DF47B8">
        <w:rPr>
          <w:lang w:val="en-US"/>
        </w:rPr>
        <w:t xml:space="preserve">can theoretically be converted to 8 shares of 9988-HK. </w:t>
      </w:r>
      <w:r w:rsidR="006E4581" w:rsidRPr="00DF47B8">
        <w:rPr>
          <w:lang w:val="en-US"/>
        </w:rPr>
        <w:t xml:space="preserve">Effectively, the investors would not have to sell the ADR on the US market and </w:t>
      </w:r>
      <w:r w:rsidR="0099755E" w:rsidRPr="00DF47B8">
        <w:rPr>
          <w:lang w:val="en-US"/>
        </w:rPr>
        <w:t>then</w:t>
      </w:r>
      <w:r w:rsidR="006E4581" w:rsidRPr="00DF47B8">
        <w:rPr>
          <w:lang w:val="en-US"/>
        </w:rPr>
        <w:t xml:space="preserve"> buy the </w:t>
      </w:r>
      <w:r w:rsidR="00ED673E">
        <w:rPr>
          <w:lang w:val="en-US"/>
        </w:rPr>
        <w:t>ordinary shares</w:t>
      </w:r>
      <w:r w:rsidR="006E4581" w:rsidRPr="00DF47B8">
        <w:rPr>
          <w:lang w:val="en-US"/>
        </w:rPr>
        <w:t xml:space="preserve"> on the HK market. </w:t>
      </w:r>
      <w:r w:rsidR="00610104" w:rsidRPr="00DF47B8">
        <w:rPr>
          <w:lang w:val="en-US"/>
        </w:rPr>
        <w:t>They would only</w:t>
      </w:r>
      <w:r w:rsidR="006E4581" w:rsidRPr="00DF47B8">
        <w:rPr>
          <w:lang w:val="en-US"/>
        </w:rPr>
        <w:t xml:space="preserve"> need to have the</w:t>
      </w:r>
      <w:r w:rsidR="00F8359A" w:rsidRPr="00DF47B8">
        <w:rPr>
          <w:lang w:val="en-US"/>
        </w:rPr>
        <w:t xml:space="preserve"> ADR</w:t>
      </w:r>
      <w:r w:rsidR="006E4581" w:rsidRPr="00DF47B8">
        <w:rPr>
          <w:lang w:val="en-US"/>
        </w:rPr>
        <w:t xml:space="preserve"> shares converted </w:t>
      </w:r>
      <w:r w:rsidRPr="00DF47B8">
        <w:rPr>
          <w:lang w:val="en-US"/>
        </w:rPr>
        <w:t xml:space="preserve">directly </w:t>
      </w:r>
      <w:r w:rsidR="006E4581" w:rsidRPr="00DF47B8">
        <w:rPr>
          <w:lang w:val="en-US"/>
        </w:rPr>
        <w:t>with their designated broker</w:t>
      </w:r>
      <w:r w:rsidR="00610104" w:rsidRPr="00DF47B8">
        <w:rPr>
          <w:lang w:val="en-US"/>
        </w:rPr>
        <w:t>s</w:t>
      </w:r>
      <w:r w:rsidR="006E4581" w:rsidRPr="00DF47B8">
        <w:rPr>
          <w:lang w:val="en-US"/>
        </w:rPr>
        <w:t xml:space="preserve"> </w:t>
      </w:r>
      <w:r w:rsidR="00610104" w:rsidRPr="00DF47B8">
        <w:rPr>
          <w:lang w:val="en-US"/>
        </w:rPr>
        <w:t>or</w:t>
      </w:r>
      <w:r w:rsidR="006E4581" w:rsidRPr="00DF47B8">
        <w:rPr>
          <w:lang w:val="en-US"/>
        </w:rPr>
        <w:t xml:space="preserve"> custodian bank</w:t>
      </w:r>
      <w:r w:rsidR="00610104" w:rsidRPr="00DF47B8">
        <w:rPr>
          <w:lang w:val="en-US"/>
        </w:rPr>
        <w:t>s</w:t>
      </w:r>
      <w:r w:rsidR="006E4581" w:rsidRPr="00DF47B8">
        <w:rPr>
          <w:lang w:val="en-US"/>
        </w:rPr>
        <w:t>.</w:t>
      </w:r>
    </w:p>
    <w:p w14:paraId="47039077" w14:textId="7889BA21" w:rsidR="00A65514" w:rsidRDefault="000502B1" w:rsidP="006E4581">
      <w:pPr>
        <w:rPr>
          <w:lang w:val="en-US"/>
        </w:rPr>
      </w:pPr>
      <w:r w:rsidRPr="00DF47B8">
        <w:rPr>
          <w:b/>
          <w:bCs/>
          <w:lang w:val="en-US"/>
        </w:rPr>
        <w:t>Current Solactive treatment (Option #1)</w:t>
      </w:r>
      <w:r w:rsidRPr="00DF47B8">
        <w:rPr>
          <w:lang w:val="en-US"/>
        </w:rPr>
        <w:t xml:space="preserve"> – The above fungibility feature is currently not </w:t>
      </w:r>
      <w:r w:rsidR="003D6D7D">
        <w:rPr>
          <w:lang w:val="en-US"/>
        </w:rPr>
        <w:t>considered</w:t>
      </w:r>
      <w:r w:rsidR="003D6D7D" w:rsidRPr="00DF47B8">
        <w:rPr>
          <w:lang w:val="en-US"/>
        </w:rPr>
        <w:t xml:space="preserve"> </w:t>
      </w:r>
      <w:r w:rsidRPr="00DF47B8">
        <w:rPr>
          <w:lang w:val="en-US"/>
        </w:rPr>
        <w:t xml:space="preserve">in the rebalance </w:t>
      </w:r>
      <w:r w:rsidR="003D6D7D">
        <w:rPr>
          <w:lang w:val="en-US"/>
        </w:rPr>
        <w:t xml:space="preserve">procedure </w:t>
      </w:r>
      <w:r w:rsidRPr="00DF47B8">
        <w:rPr>
          <w:lang w:val="en-US"/>
        </w:rPr>
        <w:t xml:space="preserve">of Solactive-administered indices. </w:t>
      </w:r>
      <w:r w:rsidR="00F8359A" w:rsidRPr="00DF47B8">
        <w:rPr>
          <w:lang w:val="en-US"/>
        </w:rPr>
        <w:t xml:space="preserve">If </w:t>
      </w:r>
      <w:r w:rsidRPr="00DF47B8">
        <w:rPr>
          <w:lang w:val="en-US"/>
        </w:rPr>
        <w:t>an index rebalance requires</w:t>
      </w:r>
      <w:r w:rsidR="003D6D7D">
        <w:rPr>
          <w:lang w:val="en-US"/>
        </w:rPr>
        <w:t xml:space="preserve"> the</w:t>
      </w:r>
      <w:r w:rsidRPr="00DF47B8">
        <w:rPr>
          <w:lang w:val="en-US"/>
        </w:rPr>
        <w:t xml:space="preserve"> </w:t>
      </w:r>
      <w:r>
        <w:rPr>
          <w:lang w:val="en-US"/>
        </w:rPr>
        <w:t>replacement</w:t>
      </w:r>
      <w:r w:rsidRPr="00D7475D">
        <w:rPr>
          <w:lang w:val="en-US"/>
        </w:rPr>
        <w:t xml:space="preserve"> of </w:t>
      </w:r>
      <w:r>
        <w:rPr>
          <w:lang w:val="en-US"/>
        </w:rPr>
        <w:t xml:space="preserve">an </w:t>
      </w:r>
      <w:r w:rsidRPr="00D7475D">
        <w:rPr>
          <w:lang w:val="en-US"/>
        </w:rPr>
        <w:t xml:space="preserve">ADR </w:t>
      </w:r>
      <w:r>
        <w:rPr>
          <w:lang w:val="en-US"/>
        </w:rPr>
        <w:t>with</w:t>
      </w:r>
      <w:r w:rsidRPr="00D7475D">
        <w:rPr>
          <w:lang w:val="en-US"/>
        </w:rPr>
        <w:t xml:space="preserve"> </w:t>
      </w:r>
      <w:r>
        <w:rPr>
          <w:lang w:val="en-US"/>
        </w:rPr>
        <w:t>its</w:t>
      </w:r>
      <w:r w:rsidRPr="00D7475D">
        <w:rPr>
          <w:lang w:val="en-US"/>
        </w:rPr>
        <w:t xml:space="preserve"> </w:t>
      </w:r>
      <w:r w:rsidR="00ED673E">
        <w:rPr>
          <w:lang w:val="en-US"/>
        </w:rPr>
        <w:t>ordinary shares</w:t>
      </w:r>
      <w:r>
        <w:rPr>
          <w:lang w:val="en-US"/>
        </w:rPr>
        <w:t>, Solactive</w:t>
      </w:r>
      <w:r w:rsidR="00A65514">
        <w:rPr>
          <w:lang w:val="en-US"/>
        </w:rPr>
        <w:t xml:space="preserve"> </w:t>
      </w:r>
      <w:r>
        <w:rPr>
          <w:lang w:val="en-US"/>
        </w:rPr>
        <w:t>deletes the ADR at its clos</w:t>
      </w:r>
      <w:r w:rsidR="00C21B33">
        <w:rPr>
          <w:lang w:val="en-US"/>
        </w:rPr>
        <w:t>ing</w:t>
      </w:r>
      <w:r>
        <w:rPr>
          <w:lang w:val="en-US"/>
        </w:rPr>
        <w:t xml:space="preserve"> price</w:t>
      </w:r>
      <w:r w:rsidR="0099755E">
        <w:rPr>
          <w:lang w:val="en-US"/>
        </w:rPr>
        <w:t xml:space="preserve"> on the US exchange</w:t>
      </w:r>
      <w:r>
        <w:rPr>
          <w:lang w:val="en-US"/>
        </w:rPr>
        <w:t xml:space="preserve">, and adds the </w:t>
      </w:r>
      <w:r w:rsidR="00ED673E">
        <w:rPr>
          <w:lang w:val="en-US"/>
        </w:rPr>
        <w:t>ordinary listing</w:t>
      </w:r>
      <w:r>
        <w:rPr>
          <w:lang w:val="en-US"/>
        </w:rPr>
        <w:t xml:space="preserve"> at its clos</w:t>
      </w:r>
      <w:r w:rsidR="00C21B33">
        <w:rPr>
          <w:lang w:val="en-US"/>
        </w:rPr>
        <w:t>ing</w:t>
      </w:r>
      <w:r>
        <w:rPr>
          <w:lang w:val="en-US"/>
        </w:rPr>
        <w:t xml:space="preserve"> price</w:t>
      </w:r>
      <w:r w:rsidR="00042A0C">
        <w:rPr>
          <w:lang w:val="en-US"/>
        </w:rPr>
        <w:t xml:space="preserve"> on </w:t>
      </w:r>
      <w:r w:rsidR="0099755E">
        <w:rPr>
          <w:lang w:val="en-US"/>
        </w:rPr>
        <w:t>the local exchange. The clos</w:t>
      </w:r>
      <w:r w:rsidR="00C21B33">
        <w:rPr>
          <w:lang w:val="en-US"/>
        </w:rPr>
        <w:t>ing</w:t>
      </w:r>
      <w:r w:rsidR="0099755E">
        <w:rPr>
          <w:lang w:val="en-US"/>
        </w:rPr>
        <w:t xml:space="preserve"> prices here are as of the Rebalance Day of the index.</w:t>
      </w:r>
    </w:p>
    <w:p w14:paraId="08C341E8" w14:textId="2A3932E4" w:rsidR="00F8359A" w:rsidRPr="00DF47B8" w:rsidRDefault="00A65514" w:rsidP="006E4581">
      <w:pPr>
        <w:rPr>
          <w:lang w:val="en-US"/>
        </w:rPr>
      </w:pPr>
      <w:r w:rsidRPr="00DF47B8">
        <w:rPr>
          <w:b/>
          <w:bCs/>
          <w:lang w:val="en-US"/>
        </w:rPr>
        <w:t xml:space="preserve">Proposed </w:t>
      </w:r>
      <w:r w:rsidR="00042A0C">
        <w:rPr>
          <w:b/>
          <w:bCs/>
          <w:lang w:val="en-US"/>
        </w:rPr>
        <w:t xml:space="preserve">Solactive </w:t>
      </w:r>
      <w:r w:rsidRPr="00DF47B8">
        <w:rPr>
          <w:b/>
          <w:bCs/>
          <w:lang w:val="en-US"/>
        </w:rPr>
        <w:t>treatment (Option #2)</w:t>
      </w:r>
      <w:r>
        <w:rPr>
          <w:lang w:val="en-US"/>
        </w:rPr>
        <w:t xml:space="preserve"> – </w:t>
      </w:r>
      <w:r w:rsidR="00042A0C">
        <w:rPr>
          <w:lang w:val="en-US"/>
        </w:rPr>
        <w:t xml:space="preserve">To </w:t>
      </w:r>
      <w:r w:rsidR="003D6D7D">
        <w:rPr>
          <w:lang w:val="en-US"/>
        </w:rPr>
        <w:t xml:space="preserve">incorporate </w:t>
      </w:r>
      <w:r w:rsidR="00042A0C">
        <w:rPr>
          <w:lang w:val="en-US"/>
        </w:rPr>
        <w:t xml:space="preserve">the above fungibility feature in an index rebalance, Solactive </w:t>
      </w:r>
      <w:r w:rsidR="00F86522">
        <w:rPr>
          <w:lang w:val="en-US"/>
        </w:rPr>
        <w:t xml:space="preserve">considers </w:t>
      </w:r>
      <w:r w:rsidR="00042A0C" w:rsidRPr="00D7475D">
        <w:rPr>
          <w:lang w:val="en-US"/>
        </w:rPr>
        <w:t>conduct</w:t>
      </w:r>
      <w:r w:rsidR="00F86522">
        <w:rPr>
          <w:lang w:val="en-US"/>
        </w:rPr>
        <w:t>ing</w:t>
      </w:r>
      <w:r w:rsidR="00042A0C" w:rsidRPr="00D7475D">
        <w:rPr>
          <w:lang w:val="en-US"/>
        </w:rPr>
        <w:t xml:space="preserve"> a market-neutral exchange of the two share lines based on a common price</w:t>
      </w:r>
      <w:r w:rsidR="00042A0C">
        <w:rPr>
          <w:lang w:val="en-US"/>
        </w:rPr>
        <w:t xml:space="preserve">. The common price of </w:t>
      </w:r>
      <w:r w:rsidR="003D6D7D">
        <w:rPr>
          <w:lang w:val="en-US"/>
        </w:rPr>
        <w:t xml:space="preserve">the </w:t>
      </w:r>
      <w:r w:rsidR="00042A0C">
        <w:rPr>
          <w:lang w:val="en-US"/>
        </w:rPr>
        <w:t xml:space="preserve">conversion </w:t>
      </w:r>
      <w:r w:rsidR="00687C17">
        <w:rPr>
          <w:lang w:val="en-US"/>
        </w:rPr>
        <w:t>would be</w:t>
      </w:r>
      <w:r w:rsidR="00042A0C">
        <w:rPr>
          <w:lang w:val="en-US"/>
        </w:rPr>
        <w:t xml:space="preserve"> the official clos</w:t>
      </w:r>
      <w:r w:rsidR="00C21B33">
        <w:rPr>
          <w:lang w:val="en-US"/>
        </w:rPr>
        <w:t>ing</w:t>
      </w:r>
      <w:r w:rsidR="00042A0C">
        <w:rPr>
          <w:lang w:val="en-US"/>
        </w:rPr>
        <w:t xml:space="preserve"> price of the target listing on the Rebalance Day. If an index rebalance requires </w:t>
      </w:r>
      <w:r w:rsidR="00ED673E">
        <w:rPr>
          <w:lang w:val="en-US"/>
        </w:rPr>
        <w:t xml:space="preserve">the </w:t>
      </w:r>
      <w:r w:rsidR="00687C17">
        <w:rPr>
          <w:lang w:val="en-US"/>
        </w:rPr>
        <w:t xml:space="preserve">replacement of an ADR with its </w:t>
      </w:r>
      <w:r w:rsidR="00ED673E">
        <w:rPr>
          <w:lang w:val="en-US"/>
        </w:rPr>
        <w:t>ordinary shares</w:t>
      </w:r>
      <w:r w:rsidR="00687C17">
        <w:rPr>
          <w:lang w:val="en-US"/>
        </w:rPr>
        <w:t>, the ADR would be removed from the index at the clos</w:t>
      </w:r>
      <w:r w:rsidR="00C21B33">
        <w:rPr>
          <w:lang w:val="en-US"/>
        </w:rPr>
        <w:t>ing</w:t>
      </w:r>
      <w:r w:rsidR="00687C17">
        <w:rPr>
          <w:lang w:val="en-US"/>
        </w:rPr>
        <w:t xml:space="preserve"> price of the </w:t>
      </w:r>
      <w:r w:rsidR="00ED673E">
        <w:rPr>
          <w:lang w:val="en-US"/>
        </w:rPr>
        <w:t xml:space="preserve">ordinary </w:t>
      </w:r>
      <w:r w:rsidR="000A3C9A">
        <w:rPr>
          <w:lang w:val="en-US"/>
        </w:rPr>
        <w:t>shares</w:t>
      </w:r>
      <w:r w:rsidR="00687C17">
        <w:rPr>
          <w:lang w:val="en-US"/>
        </w:rPr>
        <w:t xml:space="preserve"> on the Rebalance Day</w:t>
      </w:r>
      <w:r w:rsidR="003D6D7D">
        <w:rPr>
          <w:lang w:val="en-US"/>
        </w:rPr>
        <w:t>, adjusted for the exchange rate and conversion ratio</w:t>
      </w:r>
      <w:r w:rsidR="00687C17">
        <w:rPr>
          <w:lang w:val="en-US"/>
        </w:rPr>
        <w:t xml:space="preserve">. The </w:t>
      </w:r>
      <w:r w:rsidR="00ED673E">
        <w:rPr>
          <w:lang w:val="en-US"/>
        </w:rPr>
        <w:t>ordinary</w:t>
      </w:r>
      <w:r w:rsidR="00687C17">
        <w:rPr>
          <w:lang w:val="en-US"/>
        </w:rPr>
        <w:t xml:space="preserve"> </w:t>
      </w:r>
      <w:r w:rsidR="000A3C9A">
        <w:rPr>
          <w:lang w:val="en-US"/>
        </w:rPr>
        <w:t>listing</w:t>
      </w:r>
      <w:r w:rsidR="00ED673E">
        <w:rPr>
          <w:lang w:val="en-US"/>
        </w:rPr>
        <w:t xml:space="preserve"> </w:t>
      </w:r>
      <w:r w:rsidR="00687C17">
        <w:rPr>
          <w:lang w:val="en-US"/>
        </w:rPr>
        <w:t xml:space="preserve">would be added </w:t>
      </w:r>
      <w:r w:rsidR="00F44858">
        <w:rPr>
          <w:lang w:val="en-US"/>
        </w:rPr>
        <w:t xml:space="preserve">to </w:t>
      </w:r>
      <w:r w:rsidR="00687C17">
        <w:rPr>
          <w:lang w:val="en-US"/>
        </w:rPr>
        <w:t>the index at this same price</w:t>
      </w:r>
      <w:r w:rsidR="0028584F">
        <w:rPr>
          <w:lang w:val="en-US"/>
        </w:rPr>
        <w:t>, i.e. its clos</w:t>
      </w:r>
      <w:r w:rsidR="000A3C9A">
        <w:rPr>
          <w:lang w:val="en-US"/>
        </w:rPr>
        <w:t>ing</w:t>
      </w:r>
      <w:r w:rsidR="0028584F">
        <w:rPr>
          <w:lang w:val="en-US"/>
        </w:rPr>
        <w:t xml:space="preserve"> price on the local exchange</w:t>
      </w:r>
      <w:r w:rsidR="00687C17">
        <w:rPr>
          <w:lang w:val="en-US"/>
        </w:rPr>
        <w:t>.</w:t>
      </w:r>
      <w:r w:rsidR="003A2F2A">
        <w:rPr>
          <w:lang w:val="en-US"/>
        </w:rPr>
        <w:t xml:space="preserve"> To demonstrate </w:t>
      </w:r>
      <w:r w:rsidR="0071478C">
        <w:rPr>
          <w:lang w:val="en-US"/>
        </w:rPr>
        <w:t xml:space="preserve">how </w:t>
      </w:r>
      <w:r w:rsidR="003A2F2A">
        <w:rPr>
          <w:lang w:val="en-US"/>
        </w:rPr>
        <w:t xml:space="preserve">Solactive would implement this conversion, we have included in the Appendix a hypothetical case and </w:t>
      </w:r>
      <w:r w:rsidR="0028584F">
        <w:rPr>
          <w:lang w:val="en-US"/>
        </w:rPr>
        <w:t>a</w:t>
      </w:r>
      <w:r w:rsidR="00F00EC8">
        <w:rPr>
          <w:lang w:val="en-US"/>
        </w:rPr>
        <w:t xml:space="preserve"> detailed calculation</w:t>
      </w:r>
      <w:r w:rsidR="0028584F">
        <w:rPr>
          <w:lang w:val="en-US"/>
        </w:rPr>
        <w:t xml:space="preserve"> for your reference.</w:t>
      </w:r>
    </w:p>
    <w:p w14:paraId="6E56D7F1" w14:textId="71EE1BDC" w:rsidR="00F8359A" w:rsidRPr="00DF47B8" w:rsidRDefault="0028584F" w:rsidP="006E4581">
      <w:pPr>
        <w:rPr>
          <w:lang w:val="en-US"/>
        </w:rPr>
      </w:pPr>
      <w:r w:rsidRPr="00DF47B8">
        <w:rPr>
          <w:lang w:val="en-US"/>
        </w:rPr>
        <w:t xml:space="preserve">Solactive would like to gather market feedback </w:t>
      </w:r>
      <w:r w:rsidR="003D6D7D">
        <w:rPr>
          <w:lang w:val="en-US"/>
        </w:rPr>
        <w:t xml:space="preserve">on </w:t>
      </w:r>
      <w:r w:rsidRPr="00DF47B8">
        <w:rPr>
          <w:lang w:val="en-US"/>
        </w:rPr>
        <w:t>how the proposed treatment (Option #2 above) may benefit our clients‘ use of Solactive indices</w:t>
      </w:r>
      <w:r w:rsidR="00F17C11" w:rsidRPr="00DF47B8">
        <w:rPr>
          <w:lang w:val="en-US"/>
        </w:rPr>
        <w:t xml:space="preserve">. </w:t>
      </w:r>
      <w:r w:rsidR="00C62341" w:rsidRPr="00DF47B8">
        <w:rPr>
          <w:lang w:val="en-US"/>
        </w:rPr>
        <w:t>In particular, we appreciate your re</w:t>
      </w:r>
      <w:r w:rsidR="003D6D7D">
        <w:rPr>
          <w:lang w:val="en-US"/>
        </w:rPr>
        <w:t>s</w:t>
      </w:r>
      <w:r w:rsidR="00C62341" w:rsidRPr="00DF47B8">
        <w:rPr>
          <w:lang w:val="en-US"/>
        </w:rPr>
        <w:t>ponse to the following questions:</w:t>
      </w:r>
    </w:p>
    <w:p w14:paraId="3BC866F6" w14:textId="6803C949" w:rsidR="00C62341" w:rsidRPr="00DF47B8" w:rsidRDefault="00527711" w:rsidP="00F17C11">
      <w:pPr>
        <w:pStyle w:val="ListParagraph"/>
        <w:numPr>
          <w:ilvl w:val="0"/>
          <w:numId w:val="22"/>
        </w:numPr>
        <w:rPr>
          <w:lang w:val="en-US"/>
        </w:rPr>
      </w:pPr>
      <w:r w:rsidRPr="00DF47B8">
        <w:rPr>
          <w:lang w:val="en-US"/>
        </w:rPr>
        <w:t>If Solactive adopts Option #2, what potential advantages or disadvantages do you anticipate with your trading strategy or portfolio management process?</w:t>
      </w:r>
    </w:p>
    <w:p w14:paraId="6AF80623" w14:textId="29EAF820" w:rsidR="00F17C11" w:rsidRPr="00DF47B8" w:rsidRDefault="00F17C11" w:rsidP="00F17C11">
      <w:pPr>
        <w:pStyle w:val="ListParagraph"/>
        <w:numPr>
          <w:ilvl w:val="0"/>
          <w:numId w:val="22"/>
        </w:numPr>
        <w:rPr>
          <w:lang w:val="en-US"/>
        </w:rPr>
      </w:pPr>
      <w:r w:rsidRPr="00DF47B8">
        <w:rPr>
          <w:lang w:val="en-US"/>
        </w:rPr>
        <w:t>Considering the hypothetical case and detailed calculation provided in the Appendix</w:t>
      </w:r>
      <w:r w:rsidR="00527711" w:rsidRPr="00DF47B8">
        <w:rPr>
          <w:lang w:val="en-US"/>
        </w:rPr>
        <w:t xml:space="preserve"> for Option #2</w:t>
      </w:r>
      <w:r w:rsidRPr="00DF47B8">
        <w:rPr>
          <w:lang w:val="en-US"/>
        </w:rPr>
        <w:t xml:space="preserve">, do you find the proposed conversion process clear and straightforward? Are there any areas </w:t>
      </w:r>
      <w:r w:rsidR="00E152F7">
        <w:rPr>
          <w:lang w:val="en-US"/>
        </w:rPr>
        <w:t xml:space="preserve">that may </w:t>
      </w:r>
      <w:r w:rsidRPr="00DF47B8">
        <w:rPr>
          <w:lang w:val="en-US"/>
        </w:rPr>
        <w:t>need further clarification or improvement?</w:t>
      </w:r>
    </w:p>
    <w:p w14:paraId="53F9E504" w14:textId="7BA8F031" w:rsidR="00F17C11" w:rsidRPr="00DF47B8" w:rsidRDefault="00F17C11" w:rsidP="00C62341">
      <w:pPr>
        <w:pStyle w:val="ListParagraph"/>
        <w:numPr>
          <w:ilvl w:val="0"/>
          <w:numId w:val="22"/>
        </w:numPr>
        <w:rPr>
          <w:lang w:val="en-US"/>
        </w:rPr>
      </w:pPr>
      <w:r w:rsidRPr="00DF47B8">
        <w:rPr>
          <w:lang w:val="en-US"/>
        </w:rPr>
        <w:t>If Solactive adopts Option #2, what impacts do you anticipate for your trading strategy or portfolio management process with respect to:</w:t>
      </w:r>
    </w:p>
    <w:p w14:paraId="1852567A" w14:textId="278BC3E3" w:rsidR="00F17C11" w:rsidRPr="00DF47B8" w:rsidRDefault="00F17C11" w:rsidP="00F17C11">
      <w:pPr>
        <w:pStyle w:val="ListParagraph"/>
        <w:numPr>
          <w:ilvl w:val="0"/>
          <w:numId w:val="23"/>
        </w:numPr>
        <w:rPr>
          <w:lang w:val="en-US"/>
        </w:rPr>
      </w:pPr>
      <w:r w:rsidRPr="00DF47B8">
        <w:rPr>
          <w:lang w:val="en-US"/>
        </w:rPr>
        <w:lastRenderedPageBreak/>
        <w:t xml:space="preserve">Liquidity and </w:t>
      </w:r>
      <w:r w:rsidR="00527711" w:rsidRPr="00DF47B8">
        <w:rPr>
          <w:lang w:val="en-US"/>
        </w:rPr>
        <w:t>amount of time required to complete the conversion</w:t>
      </w:r>
    </w:p>
    <w:p w14:paraId="114BBD38" w14:textId="55FC3A35" w:rsidR="00527711" w:rsidRPr="00DF47B8" w:rsidRDefault="00527711" w:rsidP="00F17C11">
      <w:pPr>
        <w:pStyle w:val="ListParagraph"/>
        <w:numPr>
          <w:ilvl w:val="0"/>
          <w:numId w:val="23"/>
        </w:numPr>
        <w:rPr>
          <w:lang w:val="en-US"/>
        </w:rPr>
      </w:pPr>
      <w:r w:rsidRPr="00DF47B8">
        <w:rPr>
          <w:lang w:val="en-US"/>
        </w:rPr>
        <w:t>Tracking error of your portfolio versus the index</w:t>
      </w:r>
    </w:p>
    <w:p w14:paraId="6BBFF424" w14:textId="3401560F" w:rsidR="00F17C11" w:rsidRDefault="00F17C11" w:rsidP="00F17C11">
      <w:pPr>
        <w:pStyle w:val="ListParagraph"/>
        <w:numPr>
          <w:ilvl w:val="0"/>
          <w:numId w:val="23"/>
        </w:numPr>
      </w:pPr>
      <w:proofErr w:type="spellStart"/>
      <w:r>
        <w:t>Cost</w:t>
      </w:r>
      <w:proofErr w:type="spellEnd"/>
      <w:r>
        <w:t xml:space="preserve"> </w:t>
      </w:r>
      <w:proofErr w:type="spellStart"/>
      <w:r>
        <w:t>implications</w:t>
      </w:r>
      <w:proofErr w:type="spellEnd"/>
      <w:r>
        <w:t xml:space="preserve"> </w:t>
      </w:r>
    </w:p>
    <w:p w14:paraId="19DC792F" w14:textId="257083FC" w:rsidR="00F17C11" w:rsidRDefault="00F17C11" w:rsidP="00F17C11">
      <w:pPr>
        <w:pStyle w:val="ListParagraph"/>
        <w:numPr>
          <w:ilvl w:val="0"/>
          <w:numId w:val="23"/>
        </w:numPr>
      </w:pPr>
      <w:proofErr w:type="spellStart"/>
      <w:r>
        <w:t>Tax</w:t>
      </w:r>
      <w:proofErr w:type="spellEnd"/>
      <w:r>
        <w:t xml:space="preserve"> </w:t>
      </w:r>
      <w:proofErr w:type="spellStart"/>
      <w:r>
        <w:t>implications</w:t>
      </w:r>
      <w:proofErr w:type="spellEnd"/>
    </w:p>
    <w:p w14:paraId="642134CD" w14:textId="5BE0E582" w:rsidR="00F17C11" w:rsidRDefault="00F17C11" w:rsidP="00DF47B8">
      <w:pPr>
        <w:pStyle w:val="ListParagraph"/>
        <w:numPr>
          <w:ilvl w:val="0"/>
          <w:numId w:val="23"/>
        </w:numPr>
      </w:pPr>
      <w:proofErr w:type="spellStart"/>
      <w:r>
        <w:t>Regulatory</w:t>
      </w:r>
      <w:proofErr w:type="spellEnd"/>
      <w:r>
        <w:t xml:space="preserve"> </w:t>
      </w:r>
      <w:proofErr w:type="spellStart"/>
      <w:r>
        <w:t>requirements</w:t>
      </w:r>
      <w:proofErr w:type="spellEnd"/>
    </w:p>
    <w:p w14:paraId="2A309B46" w14:textId="77777777" w:rsidR="00982702" w:rsidRPr="00DF47B8" w:rsidRDefault="00982702" w:rsidP="00C62341">
      <w:pPr>
        <w:pStyle w:val="ListParagraph"/>
        <w:numPr>
          <w:ilvl w:val="0"/>
          <w:numId w:val="22"/>
        </w:numPr>
        <w:rPr>
          <w:lang w:val="en-US"/>
        </w:rPr>
      </w:pPr>
      <w:r w:rsidRPr="00DF47B8">
        <w:rPr>
          <w:lang w:val="en-US"/>
        </w:rPr>
        <w:t>In summary, which option, Option #1 (current Solactive treatment) or Option #2 (proposed Solactive treatment reflecting ADR fungibility), would be a better fit for your process?</w:t>
      </w:r>
    </w:p>
    <w:p w14:paraId="5A6D494F" w14:textId="1C9B93FF" w:rsidR="0028584F" w:rsidRPr="00DF47B8" w:rsidRDefault="00982702" w:rsidP="006E4581">
      <w:pPr>
        <w:rPr>
          <w:lang w:val="en-US"/>
        </w:rPr>
      </w:pPr>
      <w:r w:rsidRPr="00DF47B8">
        <w:rPr>
          <w:lang w:val="en-US"/>
        </w:rPr>
        <w:t>Lastly, if you have any alternative suggestions or modifications to the proposed treatment that you believe could better address the needs and concerns of market participants, please feel free to provide them along with your response.</w:t>
      </w:r>
    </w:p>
    <w:p w14:paraId="1CB26C70" w14:textId="77777777" w:rsidR="00982702" w:rsidRPr="00DF47B8" w:rsidRDefault="00982702" w:rsidP="006E4581">
      <w:pPr>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2F699071" w:rsidR="005055F5" w:rsidRDefault="005055F5" w:rsidP="005055F5">
      <w:pPr>
        <w:spacing w:before="0" w:after="0" w:line="360" w:lineRule="auto"/>
        <w:rPr>
          <w:sz w:val="22"/>
          <w:szCs w:val="22"/>
          <w:lang w:val="en-US"/>
        </w:rPr>
      </w:pPr>
      <w:r w:rsidRPr="00C04273">
        <w:rPr>
          <w:lang w:val="en-US"/>
        </w:rPr>
        <w:t>If you would like to share your thoughts with Solactive</w:t>
      </w:r>
      <w:r w:rsidR="008C20D3">
        <w:rPr>
          <w:lang w:val="en-US"/>
        </w:rPr>
        <w:t xml:space="preserve"> and respond to our above questions</w:t>
      </w:r>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041FE6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F47B8"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DA4BBDB"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8C20D3" w:rsidRPr="00DF47B8">
        <w:rPr>
          <w:b/>
          <w:bCs/>
          <w:i/>
          <w:lang w:val="en-US"/>
        </w:rPr>
        <w:t>January 5</w:t>
      </w:r>
      <w:r w:rsidR="008C20D3" w:rsidRPr="00DF47B8">
        <w:rPr>
          <w:b/>
          <w:bCs/>
          <w:i/>
          <w:vertAlign w:val="superscript"/>
          <w:lang w:val="en-US"/>
        </w:rPr>
        <w:t>th</w:t>
      </w:r>
      <w:r w:rsidR="008C20D3" w:rsidRPr="00DF47B8">
        <w:rPr>
          <w:b/>
          <w:bCs/>
          <w:i/>
          <w:lang w:val="en-US"/>
        </w:rPr>
        <w:t>, 2024</w:t>
      </w:r>
      <w:r w:rsidR="008C20D3">
        <w:rPr>
          <w:i/>
          <w:lang w:val="en-US"/>
        </w:rPr>
        <w:t>.</w:t>
      </w:r>
    </w:p>
    <w:p w14:paraId="741A56A5" w14:textId="3BDAC44E" w:rsidR="00651886" w:rsidRPr="00C04273" w:rsidRDefault="00651886" w:rsidP="00651886">
      <w:pPr>
        <w:spacing w:before="0" w:after="0" w:line="360" w:lineRule="auto"/>
        <w:rPr>
          <w:lang w:val="en-US"/>
        </w:rPr>
      </w:pPr>
      <w:r w:rsidRPr="00FE1081">
        <w:rPr>
          <w:lang w:val="en-US"/>
        </w:rPr>
        <w:t xml:space="preserve">Subject to feedback received on this Market Consultation, </w:t>
      </w:r>
      <w:r w:rsidR="008C20D3">
        <w:rPr>
          <w:lang w:val="en-US"/>
        </w:rPr>
        <w:t>Solactive will follow up and announce any changes to our current process with respect the methodology in consultation</w:t>
      </w:r>
      <w:r w:rsidR="004819FA" w:rsidRPr="00DF47B8">
        <w:rPr>
          <w:lang w:val="en-US"/>
        </w:rPr>
        <w:t>.</w:t>
      </w:r>
    </w:p>
    <w:p w14:paraId="0D223365" w14:textId="77777777" w:rsidR="00651886" w:rsidRPr="00C04273" w:rsidRDefault="00651886" w:rsidP="005055F5">
      <w:pPr>
        <w:spacing w:before="0" w:after="0" w:line="360" w:lineRule="auto"/>
        <w:rPr>
          <w:lang w:val="en-US"/>
        </w:rPr>
      </w:pPr>
    </w:p>
    <w:p w14:paraId="04131284" w14:textId="59307EE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8C20D3" w:rsidRPr="00DF47B8">
        <w:rPr>
          <w:b/>
          <w:bCs/>
          <w:lang w:val="en-US"/>
        </w:rPr>
        <w:t xml:space="preserve">– Conversion of ADR to </w:t>
      </w:r>
      <w:r w:rsidR="00133DA4">
        <w:rPr>
          <w:b/>
          <w:bCs/>
          <w:lang w:val="en-US"/>
        </w:rPr>
        <w:t>Ordinary Shares</w:t>
      </w:r>
      <w:r w:rsidR="0026131F" w:rsidRPr="00DF47B8">
        <w:rPr>
          <w:lang w:val="en-US"/>
        </w:rPr>
        <w:t>”</w:t>
      </w:r>
      <w:r w:rsidRPr="00C04273">
        <w:rPr>
          <w:lang w:val="en-US"/>
        </w:rPr>
        <w:t xml:space="preserve"> as the subject of the email, or </w:t>
      </w:r>
    </w:p>
    <w:p w14:paraId="6AB9F564" w14:textId="77777777" w:rsidR="005055F5" w:rsidRPr="00DF47B8" w:rsidRDefault="005055F5" w:rsidP="005055F5">
      <w:pPr>
        <w:spacing w:after="0"/>
        <w:rPr>
          <w:lang w:val="it-IT"/>
        </w:rPr>
      </w:pPr>
      <w:r w:rsidRPr="00DF47B8">
        <w:rPr>
          <w:lang w:val="it-IT"/>
        </w:rPr>
        <w:t>via postal mail to:</w:t>
      </w:r>
      <w:r w:rsidRPr="00DF47B8">
        <w:rPr>
          <w:lang w:val="it-IT"/>
        </w:rPr>
        <w:tab/>
      </w:r>
      <w:r w:rsidRPr="00DF47B8">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DF47B8" w:rsidRDefault="003D0D25" w:rsidP="003D0D25">
      <w:pPr>
        <w:spacing w:after="0"/>
        <w:ind w:left="1416" w:firstLine="708"/>
        <w:rPr>
          <w:lang w:val="en-US"/>
        </w:rPr>
      </w:pPr>
      <w:r w:rsidRPr="00DF47B8">
        <w:rPr>
          <w:lang w:val="en-US"/>
        </w:rPr>
        <w:t>Germany</w:t>
      </w:r>
    </w:p>
    <w:p w14:paraId="752A804F" w14:textId="7A894BF5" w:rsidR="00753C1C" w:rsidRPr="00DF47B8" w:rsidRDefault="00753C1C" w:rsidP="003D0D25">
      <w:pPr>
        <w:spacing w:after="0"/>
        <w:ind w:left="1416" w:firstLine="708"/>
        <w:rPr>
          <w:lang w:val="en-US"/>
        </w:rPr>
      </w:pPr>
    </w:p>
    <w:p w14:paraId="6605CF27" w14:textId="70C003B6" w:rsidR="008C20D3"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115B55C1" w14:textId="77777777" w:rsidR="008C20D3" w:rsidRDefault="008C20D3">
      <w:pPr>
        <w:spacing w:before="0" w:after="160" w:line="259" w:lineRule="auto"/>
        <w:jc w:val="left"/>
        <w:rPr>
          <w:lang w:val="en-US"/>
        </w:rPr>
      </w:pPr>
      <w:r>
        <w:rPr>
          <w:lang w:val="en-US"/>
        </w:rPr>
        <w:br w:type="page"/>
      </w:r>
    </w:p>
    <w:p w14:paraId="0DD4805F" w14:textId="1DE2830F" w:rsidR="008C20D3" w:rsidRPr="0026131F" w:rsidRDefault="008C20D3" w:rsidP="008C20D3">
      <w:pPr>
        <w:spacing w:before="0" w:after="160" w:line="259" w:lineRule="auto"/>
        <w:jc w:val="left"/>
        <w:rPr>
          <w:b/>
          <w:bCs/>
          <w:sz w:val="32"/>
          <w:szCs w:val="32"/>
          <w:lang w:val="en-GB"/>
        </w:rPr>
      </w:pPr>
      <w:r>
        <w:rPr>
          <w:b/>
          <w:bCs/>
          <w:sz w:val="32"/>
          <w:szCs w:val="32"/>
          <w:u w:val="single"/>
          <w:lang w:val="en-GB"/>
        </w:rPr>
        <w:lastRenderedPageBreak/>
        <w:t>Appendix</w:t>
      </w:r>
    </w:p>
    <w:p w14:paraId="30F95827" w14:textId="1C3F1764" w:rsidR="008C20D3" w:rsidRPr="00DF47B8" w:rsidRDefault="008C20D3" w:rsidP="008C20D3">
      <w:pPr>
        <w:spacing w:before="0" w:after="160" w:line="259" w:lineRule="auto"/>
        <w:rPr>
          <w:lang w:val="en-US"/>
        </w:rPr>
      </w:pPr>
      <w:r>
        <w:rPr>
          <w:lang w:val="en-GB"/>
        </w:rPr>
        <w:t xml:space="preserve">Here you can find a hypothetical case and detailed calculation for the proposed Solactive treatment (Option #2) regarding the </w:t>
      </w:r>
      <w:r w:rsidR="00C249A4">
        <w:rPr>
          <w:lang w:val="en-GB"/>
        </w:rPr>
        <w:t xml:space="preserve">conversion of ADR to its </w:t>
      </w:r>
      <w:r w:rsidR="00133DA4">
        <w:rPr>
          <w:lang w:val="en-GB"/>
        </w:rPr>
        <w:t>ordinary shares</w:t>
      </w:r>
      <w:r w:rsidR="00C249A4">
        <w:rPr>
          <w:lang w:val="en-GB"/>
        </w:rPr>
        <w:t>.</w:t>
      </w:r>
    </w:p>
    <w:p w14:paraId="68B7A79B" w14:textId="6CA0824B" w:rsidR="008C20D3" w:rsidRDefault="00C249A4" w:rsidP="008C20D3">
      <w:pPr>
        <w:spacing w:before="0" w:after="160" w:line="259" w:lineRule="auto"/>
        <w:jc w:val="left"/>
        <w:rPr>
          <w:b/>
          <w:bCs/>
          <w:sz w:val="28"/>
          <w:szCs w:val="28"/>
          <w:lang w:val="en-GB"/>
        </w:rPr>
      </w:pPr>
      <w:r>
        <w:rPr>
          <w:b/>
          <w:bCs/>
          <w:sz w:val="28"/>
          <w:szCs w:val="28"/>
          <w:lang w:val="en-GB"/>
        </w:rPr>
        <w:t>Hypothetical Case</w:t>
      </w:r>
    </w:p>
    <w:tbl>
      <w:tblPr>
        <w:tblW w:w="0" w:type="auto"/>
        <w:tblLook w:val="04A0" w:firstRow="1" w:lastRow="0" w:firstColumn="1" w:lastColumn="0" w:noHBand="0" w:noVBand="1"/>
      </w:tblPr>
      <w:tblGrid>
        <w:gridCol w:w="562"/>
        <w:gridCol w:w="3399"/>
        <w:gridCol w:w="1278"/>
        <w:gridCol w:w="2298"/>
        <w:gridCol w:w="1817"/>
      </w:tblGrid>
      <w:tr w:rsidR="009111F9" w:rsidRPr="00C249A4" w14:paraId="7C86FBE9" w14:textId="77777777" w:rsidTr="009111F9">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69405" w14:textId="77777777" w:rsidR="00C249A4" w:rsidRPr="00DF47B8" w:rsidRDefault="00C249A4" w:rsidP="00253D56">
            <w:pPr>
              <w:spacing w:before="0" w:after="0"/>
              <w:jc w:val="left"/>
              <w:rPr>
                <w:rFonts w:cs="Calibri"/>
                <w:i/>
                <w:iCs/>
                <w:color w:val="000000"/>
                <w:sz w:val="22"/>
                <w:szCs w:val="22"/>
                <w:lang w:val="en-US" w:eastAsia="en-US"/>
              </w:rPr>
            </w:pPr>
            <w:r w:rsidRPr="00DF47B8">
              <w:rPr>
                <w:rFonts w:cs="Calibri"/>
                <w:i/>
                <w:iCs/>
                <w:color w:val="000000"/>
                <w:sz w:val="22"/>
                <w:szCs w:val="22"/>
                <w:lang w:val="en-US" w:eastAsia="en-US"/>
              </w:rPr>
              <w:t> </w:t>
            </w:r>
          </w:p>
        </w:tc>
        <w:tc>
          <w:tcPr>
            <w:tcW w:w="3399" w:type="dxa"/>
            <w:tcBorders>
              <w:top w:val="single" w:sz="4" w:space="0" w:color="auto"/>
              <w:left w:val="nil"/>
              <w:bottom w:val="single" w:sz="4" w:space="0" w:color="auto"/>
              <w:right w:val="single" w:sz="4" w:space="0" w:color="auto"/>
            </w:tcBorders>
            <w:shd w:val="clear" w:color="auto" w:fill="auto"/>
            <w:noWrap/>
            <w:vAlign w:val="bottom"/>
            <w:hideMark/>
          </w:tcPr>
          <w:p w14:paraId="4739618D" w14:textId="77777777"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A</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7F6040F9" w14:textId="77777777"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B</w:t>
            </w:r>
          </w:p>
        </w:tc>
        <w:tc>
          <w:tcPr>
            <w:tcW w:w="2298" w:type="dxa"/>
            <w:tcBorders>
              <w:top w:val="single" w:sz="4" w:space="0" w:color="auto"/>
              <w:left w:val="nil"/>
              <w:bottom w:val="single" w:sz="4" w:space="0" w:color="auto"/>
              <w:right w:val="single" w:sz="4" w:space="0" w:color="auto"/>
            </w:tcBorders>
            <w:shd w:val="clear" w:color="auto" w:fill="auto"/>
            <w:noWrap/>
            <w:vAlign w:val="bottom"/>
            <w:hideMark/>
          </w:tcPr>
          <w:p w14:paraId="2AA9A019" w14:textId="77777777"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6F9A80" w14:textId="77777777"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D</w:t>
            </w:r>
          </w:p>
        </w:tc>
      </w:tr>
      <w:tr w:rsidR="009111F9" w:rsidRPr="00C249A4" w14:paraId="02EFC55C"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7B0A8F" w14:textId="55A6C5F6"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1</w:t>
            </w:r>
          </w:p>
        </w:tc>
        <w:tc>
          <w:tcPr>
            <w:tcW w:w="3399" w:type="dxa"/>
            <w:tcBorders>
              <w:top w:val="nil"/>
              <w:left w:val="nil"/>
              <w:bottom w:val="single" w:sz="4" w:space="0" w:color="auto"/>
              <w:right w:val="single" w:sz="4" w:space="0" w:color="auto"/>
            </w:tcBorders>
            <w:shd w:val="clear" w:color="auto" w:fill="auto"/>
            <w:noWrap/>
            <w:vAlign w:val="bottom"/>
            <w:hideMark/>
          </w:tcPr>
          <w:p w14:paraId="485105F6" w14:textId="77777777" w:rsidR="00C249A4" w:rsidRPr="00DF47B8" w:rsidRDefault="00C249A4" w:rsidP="00253D56">
            <w:pPr>
              <w:spacing w:before="0" w:after="0"/>
              <w:jc w:val="left"/>
              <w:rPr>
                <w:rFonts w:cs="Calibri"/>
                <w:color w:val="000000"/>
                <w:sz w:val="22"/>
                <w:szCs w:val="22"/>
                <w:lang w:val="en-US" w:eastAsia="en-US"/>
              </w:rPr>
            </w:pPr>
            <w:r w:rsidRPr="00DF47B8">
              <w:rPr>
                <w:rFonts w:cs="Calibri"/>
                <w:color w:val="000000"/>
                <w:sz w:val="22"/>
                <w:szCs w:val="22"/>
                <w:lang w:val="en-US" w:eastAsia="en-US"/>
              </w:rPr>
              <w:t> </w:t>
            </w:r>
          </w:p>
        </w:tc>
        <w:tc>
          <w:tcPr>
            <w:tcW w:w="1278" w:type="dxa"/>
            <w:tcBorders>
              <w:top w:val="nil"/>
              <w:left w:val="nil"/>
              <w:bottom w:val="single" w:sz="4" w:space="0" w:color="auto"/>
              <w:right w:val="single" w:sz="4" w:space="0" w:color="auto"/>
            </w:tcBorders>
            <w:shd w:val="clear" w:color="auto" w:fill="auto"/>
            <w:noWrap/>
            <w:vAlign w:val="bottom"/>
            <w:hideMark/>
          </w:tcPr>
          <w:p w14:paraId="675E8B6D" w14:textId="77777777" w:rsidR="00C249A4" w:rsidRPr="00DF47B8" w:rsidRDefault="00C249A4" w:rsidP="00253D56">
            <w:pPr>
              <w:spacing w:before="0" w:after="0"/>
              <w:jc w:val="left"/>
              <w:rPr>
                <w:rFonts w:cs="Calibri"/>
                <w:color w:val="000000"/>
                <w:sz w:val="22"/>
                <w:szCs w:val="22"/>
                <w:lang w:val="en-US" w:eastAsia="en-US"/>
              </w:rPr>
            </w:pPr>
            <w:r w:rsidRPr="00DF47B8">
              <w:rPr>
                <w:rFonts w:cs="Calibri"/>
                <w:color w:val="000000"/>
                <w:sz w:val="22"/>
                <w:szCs w:val="22"/>
                <w:lang w:val="en-US" w:eastAsia="en-US"/>
              </w:rPr>
              <w:t> </w:t>
            </w:r>
          </w:p>
        </w:tc>
        <w:tc>
          <w:tcPr>
            <w:tcW w:w="2298" w:type="dxa"/>
            <w:tcBorders>
              <w:top w:val="nil"/>
              <w:left w:val="nil"/>
              <w:bottom w:val="single" w:sz="4" w:space="0" w:color="auto"/>
              <w:right w:val="single" w:sz="4" w:space="0" w:color="auto"/>
            </w:tcBorders>
            <w:shd w:val="clear" w:color="auto" w:fill="auto"/>
            <w:noWrap/>
            <w:vAlign w:val="bottom"/>
            <w:hideMark/>
          </w:tcPr>
          <w:p w14:paraId="3117C55E" w14:textId="77777777"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9988-HK</w:t>
            </w:r>
          </w:p>
        </w:tc>
        <w:tc>
          <w:tcPr>
            <w:tcW w:w="0" w:type="auto"/>
            <w:tcBorders>
              <w:top w:val="nil"/>
              <w:left w:val="nil"/>
              <w:bottom w:val="single" w:sz="4" w:space="0" w:color="auto"/>
              <w:right w:val="single" w:sz="4" w:space="0" w:color="auto"/>
            </w:tcBorders>
            <w:shd w:val="clear" w:color="auto" w:fill="auto"/>
            <w:noWrap/>
            <w:vAlign w:val="bottom"/>
            <w:hideMark/>
          </w:tcPr>
          <w:p w14:paraId="77FB68C8" w14:textId="77777777"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BABA-US</w:t>
            </w:r>
          </w:p>
        </w:tc>
      </w:tr>
      <w:tr w:rsidR="009111F9" w:rsidRPr="00C249A4" w14:paraId="5A031827"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37301E9" w14:textId="1E8CAD78"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2</w:t>
            </w:r>
          </w:p>
        </w:tc>
        <w:tc>
          <w:tcPr>
            <w:tcW w:w="3399" w:type="dxa"/>
            <w:tcBorders>
              <w:top w:val="nil"/>
              <w:left w:val="nil"/>
              <w:bottom w:val="single" w:sz="4" w:space="0" w:color="auto"/>
              <w:right w:val="single" w:sz="4" w:space="0" w:color="auto"/>
            </w:tcBorders>
            <w:shd w:val="clear" w:color="auto" w:fill="auto"/>
            <w:noWrap/>
            <w:vAlign w:val="bottom"/>
            <w:hideMark/>
          </w:tcPr>
          <w:p w14:paraId="2E1D16EC" w14:textId="77777777" w:rsidR="00C249A4" w:rsidRPr="00DF47B8" w:rsidRDefault="00C249A4" w:rsidP="00253D56">
            <w:pPr>
              <w:spacing w:before="0" w:after="0"/>
              <w:jc w:val="left"/>
              <w:rPr>
                <w:rFonts w:cs="Calibri"/>
                <w:color w:val="000000"/>
                <w:sz w:val="22"/>
                <w:szCs w:val="22"/>
                <w:lang w:val="en-US" w:eastAsia="en-US"/>
              </w:rPr>
            </w:pPr>
            <w:r w:rsidRPr="00DF47B8">
              <w:rPr>
                <w:rFonts w:cs="Calibri"/>
                <w:color w:val="000000"/>
                <w:sz w:val="22"/>
                <w:szCs w:val="22"/>
                <w:lang w:val="en-US" w:eastAsia="en-US"/>
              </w:rPr>
              <w:t> </w:t>
            </w:r>
          </w:p>
        </w:tc>
        <w:tc>
          <w:tcPr>
            <w:tcW w:w="1278" w:type="dxa"/>
            <w:tcBorders>
              <w:top w:val="nil"/>
              <w:left w:val="nil"/>
              <w:bottom w:val="single" w:sz="4" w:space="0" w:color="auto"/>
              <w:right w:val="single" w:sz="4" w:space="0" w:color="auto"/>
            </w:tcBorders>
            <w:shd w:val="clear" w:color="auto" w:fill="auto"/>
            <w:noWrap/>
            <w:vAlign w:val="bottom"/>
            <w:hideMark/>
          </w:tcPr>
          <w:p w14:paraId="2D052CF5" w14:textId="77777777" w:rsidR="00C249A4" w:rsidRPr="00DF47B8" w:rsidRDefault="00C249A4" w:rsidP="00253D56">
            <w:pPr>
              <w:spacing w:before="0" w:after="0"/>
              <w:jc w:val="left"/>
              <w:rPr>
                <w:rFonts w:cs="Calibri"/>
                <w:color w:val="000000"/>
                <w:sz w:val="22"/>
                <w:szCs w:val="22"/>
                <w:lang w:val="en-US" w:eastAsia="en-US"/>
              </w:rPr>
            </w:pPr>
            <w:r w:rsidRPr="00DF47B8">
              <w:rPr>
                <w:rFonts w:cs="Calibri"/>
                <w:color w:val="000000"/>
                <w:sz w:val="22"/>
                <w:szCs w:val="22"/>
                <w:lang w:val="en-US" w:eastAsia="en-US"/>
              </w:rPr>
              <w:t> </w:t>
            </w:r>
          </w:p>
        </w:tc>
        <w:tc>
          <w:tcPr>
            <w:tcW w:w="2298" w:type="dxa"/>
            <w:tcBorders>
              <w:top w:val="nil"/>
              <w:left w:val="nil"/>
              <w:bottom w:val="single" w:sz="4" w:space="0" w:color="auto"/>
              <w:right w:val="single" w:sz="4" w:space="0" w:color="auto"/>
            </w:tcBorders>
            <w:shd w:val="clear" w:color="auto" w:fill="auto"/>
            <w:noWrap/>
            <w:vAlign w:val="bottom"/>
            <w:hideMark/>
          </w:tcPr>
          <w:p w14:paraId="3A9A88F3" w14:textId="77777777" w:rsidR="00C249A4" w:rsidRPr="00DF47B8" w:rsidRDefault="00C249A4" w:rsidP="00253D56">
            <w:pPr>
              <w:spacing w:before="0" w:after="0"/>
              <w:jc w:val="left"/>
              <w:rPr>
                <w:rFonts w:cs="Calibri"/>
                <w:color w:val="000000"/>
                <w:sz w:val="22"/>
                <w:szCs w:val="22"/>
                <w:lang w:val="en-US" w:eastAsia="en-US"/>
              </w:rPr>
            </w:pPr>
            <w:r w:rsidRPr="00DF47B8">
              <w:rPr>
                <w:rFonts w:cs="Calibri"/>
                <w:color w:val="000000"/>
                <w:sz w:val="22"/>
                <w:szCs w:val="22"/>
                <w:lang w:val="en-US" w:eastAsia="en-US"/>
              </w:rPr>
              <w:t>HKD</w:t>
            </w:r>
          </w:p>
        </w:tc>
        <w:tc>
          <w:tcPr>
            <w:tcW w:w="0" w:type="auto"/>
            <w:tcBorders>
              <w:top w:val="nil"/>
              <w:left w:val="nil"/>
              <w:bottom w:val="single" w:sz="4" w:space="0" w:color="auto"/>
              <w:right w:val="single" w:sz="4" w:space="0" w:color="auto"/>
            </w:tcBorders>
            <w:shd w:val="clear" w:color="auto" w:fill="auto"/>
            <w:noWrap/>
            <w:vAlign w:val="bottom"/>
            <w:hideMark/>
          </w:tcPr>
          <w:p w14:paraId="558492DD" w14:textId="77777777" w:rsidR="00C249A4" w:rsidRPr="00DF47B8" w:rsidRDefault="00C249A4" w:rsidP="00253D56">
            <w:pPr>
              <w:spacing w:before="0" w:after="0"/>
              <w:jc w:val="left"/>
              <w:rPr>
                <w:rFonts w:cs="Calibri"/>
                <w:color w:val="000000"/>
                <w:sz w:val="22"/>
                <w:szCs w:val="22"/>
                <w:lang w:val="en-US" w:eastAsia="en-US"/>
              </w:rPr>
            </w:pPr>
            <w:r w:rsidRPr="00DF47B8">
              <w:rPr>
                <w:rFonts w:cs="Calibri"/>
                <w:color w:val="000000"/>
                <w:sz w:val="22"/>
                <w:szCs w:val="22"/>
                <w:lang w:val="en-US" w:eastAsia="en-US"/>
              </w:rPr>
              <w:t>USD</w:t>
            </w:r>
          </w:p>
        </w:tc>
      </w:tr>
      <w:tr w:rsidR="009111F9" w:rsidRPr="00C249A4" w14:paraId="5C4FCAA6"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3C27146" w14:textId="46F5E49C" w:rsidR="00C249A4" w:rsidRPr="00DF47B8" w:rsidRDefault="00C249A4" w:rsidP="008208DE">
            <w:pPr>
              <w:spacing w:before="0" w:after="0"/>
              <w:jc w:val="center"/>
              <w:rPr>
                <w:rFonts w:cs="Calibri"/>
                <w:i/>
                <w:iCs/>
                <w:color w:val="000000"/>
                <w:sz w:val="22"/>
                <w:szCs w:val="22"/>
                <w:lang w:val="en-US" w:eastAsia="en-US"/>
              </w:rPr>
            </w:pPr>
            <w:r w:rsidRPr="00DF47B8">
              <w:rPr>
                <w:rFonts w:cs="Calibri"/>
                <w:i/>
                <w:iCs/>
                <w:color w:val="000000"/>
                <w:sz w:val="22"/>
                <w:szCs w:val="22"/>
                <w:lang w:val="en-US" w:eastAsia="en-US"/>
              </w:rPr>
              <w:t>3</w:t>
            </w:r>
          </w:p>
        </w:tc>
        <w:tc>
          <w:tcPr>
            <w:tcW w:w="3399" w:type="dxa"/>
            <w:tcBorders>
              <w:top w:val="nil"/>
              <w:left w:val="nil"/>
              <w:bottom w:val="single" w:sz="4" w:space="0" w:color="auto"/>
              <w:right w:val="single" w:sz="4" w:space="0" w:color="auto"/>
            </w:tcBorders>
            <w:shd w:val="clear" w:color="auto" w:fill="auto"/>
            <w:noWrap/>
            <w:vAlign w:val="bottom"/>
            <w:hideMark/>
          </w:tcPr>
          <w:p w14:paraId="158073DB" w14:textId="77777777"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Price</w:t>
            </w:r>
          </w:p>
        </w:tc>
        <w:tc>
          <w:tcPr>
            <w:tcW w:w="1278" w:type="dxa"/>
            <w:tcBorders>
              <w:top w:val="nil"/>
              <w:left w:val="nil"/>
              <w:bottom w:val="single" w:sz="4" w:space="0" w:color="auto"/>
              <w:right w:val="single" w:sz="4" w:space="0" w:color="auto"/>
            </w:tcBorders>
            <w:shd w:val="clear" w:color="auto" w:fill="auto"/>
            <w:noWrap/>
            <w:vAlign w:val="bottom"/>
            <w:hideMark/>
          </w:tcPr>
          <w:p w14:paraId="7BE961D6"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2021-05-27</w:t>
            </w:r>
          </w:p>
        </w:tc>
        <w:tc>
          <w:tcPr>
            <w:tcW w:w="2298" w:type="dxa"/>
            <w:tcBorders>
              <w:top w:val="nil"/>
              <w:left w:val="nil"/>
              <w:bottom w:val="single" w:sz="4" w:space="0" w:color="auto"/>
              <w:right w:val="single" w:sz="4" w:space="0" w:color="auto"/>
            </w:tcBorders>
            <w:shd w:val="clear" w:color="auto" w:fill="auto"/>
            <w:noWrap/>
            <w:vAlign w:val="bottom"/>
            <w:hideMark/>
          </w:tcPr>
          <w:p w14:paraId="435B414F"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208.80 </w:t>
            </w:r>
          </w:p>
        </w:tc>
        <w:tc>
          <w:tcPr>
            <w:tcW w:w="0" w:type="auto"/>
            <w:tcBorders>
              <w:top w:val="nil"/>
              <w:left w:val="nil"/>
              <w:bottom w:val="single" w:sz="4" w:space="0" w:color="auto"/>
              <w:right w:val="single" w:sz="4" w:space="0" w:color="auto"/>
            </w:tcBorders>
            <w:shd w:val="clear" w:color="auto" w:fill="auto"/>
            <w:noWrap/>
            <w:vAlign w:val="bottom"/>
            <w:hideMark/>
          </w:tcPr>
          <w:p w14:paraId="1EE54333"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212.74 </w:t>
            </w:r>
          </w:p>
        </w:tc>
      </w:tr>
      <w:tr w:rsidR="009111F9" w:rsidRPr="00C249A4" w14:paraId="1976AD06"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9EFBC23" w14:textId="726265B5"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4</w:t>
            </w:r>
          </w:p>
        </w:tc>
        <w:tc>
          <w:tcPr>
            <w:tcW w:w="3399" w:type="dxa"/>
            <w:tcBorders>
              <w:top w:val="nil"/>
              <w:left w:val="nil"/>
              <w:bottom w:val="single" w:sz="4" w:space="0" w:color="auto"/>
              <w:right w:val="single" w:sz="4" w:space="0" w:color="auto"/>
            </w:tcBorders>
            <w:shd w:val="clear" w:color="auto" w:fill="auto"/>
            <w:noWrap/>
            <w:vAlign w:val="bottom"/>
            <w:hideMark/>
          </w:tcPr>
          <w:p w14:paraId="5D11612E" w14:textId="77777777"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HKD/USD</w:t>
            </w:r>
          </w:p>
        </w:tc>
        <w:tc>
          <w:tcPr>
            <w:tcW w:w="1278" w:type="dxa"/>
            <w:tcBorders>
              <w:top w:val="nil"/>
              <w:left w:val="nil"/>
              <w:bottom w:val="single" w:sz="4" w:space="0" w:color="auto"/>
              <w:right w:val="single" w:sz="4" w:space="0" w:color="auto"/>
            </w:tcBorders>
            <w:shd w:val="clear" w:color="auto" w:fill="auto"/>
            <w:noWrap/>
            <w:vAlign w:val="bottom"/>
            <w:hideMark/>
          </w:tcPr>
          <w:p w14:paraId="7ECA1313"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2021-05-27</w:t>
            </w:r>
          </w:p>
        </w:tc>
        <w:tc>
          <w:tcPr>
            <w:tcW w:w="2298" w:type="dxa"/>
            <w:tcBorders>
              <w:top w:val="nil"/>
              <w:left w:val="nil"/>
              <w:bottom w:val="single" w:sz="4" w:space="0" w:color="auto"/>
              <w:right w:val="single" w:sz="4" w:space="0" w:color="auto"/>
            </w:tcBorders>
            <w:shd w:val="clear" w:color="auto" w:fill="auto"/>
            <w:noWrap/>
            <w:vAlign w:val="bottom"/>
            <w:hideMark/>
          </w:tcPr>
          <w:p w14:paraId="294AB94A" w14:textId="5A6B1DF2"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0.128883 </w:t>
            </w:r>
          </w:p>
        </w:tc>
        <w:tc>
          <w:tcPr>
            <w:tcW w:w="0" w:type="auto"/>
            <w:tcBorders>
              <w:top w:val="nil"/>
              <w:left w:val="nil"/>
              <w:bottom w:val="single" w:sz="4" w:space="0" w:color="auto"/>
              <w:right w:val="single" w:sz="4" w:space="0" w:color="auto"/>
            </w:tcBorders>
            <w:shd w:val="clear" w:color="auto" w:fill="auto"/>
            <w:noWrap/>
            <w:vAlign w:val="bottom"/>
            <w:hideMark/>
          </w:tcPr>
          <w:p w14:paraId="32B30940"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 </w:t>
            </w:r>
          </w:p>
        </w:tc>
      </w:tr>
      <w:tr w:rsidR="009111F9" w:rsidRPr="00C249A4" w14:paraId="49D94F56"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2F59198" w14:textId="4AA1C314"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5</w:t>
            </w:r>
          </w:p>
        </w:tc>
        <w:tc>
          <w:tcPr>
            <w:tcW w:w="3399" w:type="dxa"/>
            <w:tcBorders>
              <w:top w:val="nil"/>
              <w:left w:val="nil"/>
              <w:bottom w:val="single" w:sz="4" w:space="0" w:color="auto"/>
              <w:right w:val="single" w:sz="4" w:space="0" w:color="auto"/>
            </w:tcBorders>
            <w:shd w:val="clear" w:color="auto" w:fill="auto"/>
            <w:noWrap/>
            <w:vAlign w:val="bottom"/>
            <w:hideMark/>
          </w:tcPr>
          <w:p w14:paraId="31DF5507" w14:textId="66F96B58"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NOSH in index</w:t>
            </w:r>
          </w:p>
        </w:tc>
        <w:tc>
          <w:tcPr>
            <w:tcW w:w="1278" w:type="dxa"/>
            <w:tcBorders>
              <w:top w:val="nil"/>
              <w:left w:val="nil"/>
              <w:bottom w:val="single" w:sz="4" w:space="0" w:color="auto"/>
              <w:right w:val="single" w:sz="4" w:space="0" w:color="auto"/>
            </w:tcBorders>
            <w:shd w:val="clear" w:color="auto" w:fill="auto"/>
            <w:noWrap/>
            <w:vAlign w:val="bottom"/>
            <w:hideMark/>
          </w:tcPr>
          <w:p w14:paraId="5FCDBB18"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2021-05-27</w:t>
            </w:r>
          </w:p>
        </w:tc>
        <w:tc>
          <w:tcPr>
            <w:tcW w:w="2298" w:type="dxa"/>
            <w:tcBorders>
              <w:top w:val="nil"/>
              <w:left w:val="nil"/>
              <w:bottom w:val="single" w:sz="4" w:space="0" w:color="auto"/>
              <w:right w:val="single" w:sz="4" w:space="0" w:color="auto"/>
            </w:tcBorders>
            <w:shd w:val="clear" w:color="auto" w:fill="auto"/>
            <w:noWrap/>
            <w:vAlign w:val="bottom"/>
            <w:hideMark/>
          </w:tcPr>
          <w:p w14:paraId="728F617B"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019B9CC1" w14:textId="6EBA87E6" w:rsidR="00C249A4" w:rsidRPr="00DF47B8" w:rsidRDefault="00BD0634" w:rsidP="00DF47B8">
            <w:pPr>
              <w:spacing w:before="0" w:after="0"/>
              <w:jc w:val="right"/>
              <w:rPr>
                <w:rFonts w:cs="Calibri"/>
                <w:color w:val="000000"/>
                <w:sz w:val="22"/>
                <w:szCs w:val="22"/>
                <w:lang w:val="en-US" w:eastAsia="en-US"/>
              </w:rPr>
            </w:pPr>
            <w:r w:rsidRPr="00BD0634">
              <w:rPr>
                <w:rFonts w:cs="Calibri"/>
                <w:color w:val="000000"/>
                <w:sz w:val="22"/>
                <w:szCs w:val="22"/>
                <w:lang w:val="en-US" w:eastAsia="en-US"/>
              </w:rPr>
              <w:t>1</w:t>
            </w:r>
            <w:r>
              <w:rPr>
                <w:rFonts w:cs="Calibri"/>
                <w:color w:val="000000"/>
                <w:sz w:val="22"/>
                <w:szCs w:val="22"/>
                <w:lang w:val="en-US" w:eastAsia="en-US"/>
              </w:rPr>
              <w:t>,</w:t>
            </w:r>
            <w:r w:rsidRPr="00BD0634">
              <w:rPr>
                <w:rFonts w:cs="Calibri"/>
                <w:color w:val="000000"/>
                <w:sz w:val="22"/>
                <w:szCs w:val="22"/>
                <w:lang w:val="en-US" w:eastAsia="en-US"/>
              </w:rPr>
              <w:t>857</w:t>
            </w:r>
            <w:r>
              <w:rPr>
                <w:rFonts w:cs="Calibri"/>
                <w:color w:val="000000"/>
                <w:sz w:val="22"/>
                <w:szCs w:val="22"/>
                <w:lang w:val="en-US" w:eastAsia="en-US"/>
              </w:rPr>
              <w:t>,</w:t>
            </w:r>
            <w:r w:rsidRPr="00BD0634">
              <w:rPr>
                <w:rFonts w:cs="Calibri"/>
                <w:color w:val="000000"/>
                <w:sz w:val="22"/>
                <w:szCs w:val="22"/>
                <w:lang w:val="en-US" w:eastAsia="en-US"/>
              </w:rPr>
              <w:t>947</w:t>
            </w:r>
            <w:r>
              <w:rPr>
                <w:rFonts w:cs="Calibri"/>
                <w:color w:val="000000"/>
                <w:sz w:val="22"/>
                <w:szCs w:val="22"/>
                <w:lang w:val="en-US" w:eastAsia="en-US"/>
              </w:rPr>
              <w:t>,</w:t>
            </w:r>
            <w:r w:rsidRPr="00BD0634">
              <w:rPr>
                <w:rFonts w:cs="Calibri"/>
                <w:color w:val="000000"/>
                <w:sz w:val="22"/>
                <w:szCs w:val="22"/>
                <w:lang w:val="en-US" w:eastAsia="en-US"/>
              </w:rPr>
              <w:t>142</w:t>
            </w:r>
          </w:p>
        </w:tc>
      </w:tr>
      <w:tr w:rsidR="009111F9" w:rsidRPr="00C249A4" w14:paraId="09175940"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0C56B10" w14:textId="6C83A3C6"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6</w:t>
            </w:r>
          </w:p>
        </w:tc>
        <w:tc>
          <w:tcPr>
            <w:tcW w:w="3399" w:type="dxa"/>
            <w:tcBorders>
              <w:top w:val="nil"/>
              <w:left w:val="nil"/>
              <w:bottom w:val="single" w:sz="4" w:space="0" w:color="auto"/>
              <w:right w:val="single" w:sz="4" w:space="0" w:color="auto"/>
            </w:tcBorders>
            <w:shd w:val="clear" w:color="auto" w:fill="auto"/>
            <w:noWrap/>
            <w:vAlign w:val="bottom"/>
            <w:hideMark/>
          </w:tcPr>
          <w:p w14:paraId="20A91B6F" w14:textId="09980A14"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NOSH in index</w:t>
            </w:r>
          </w:p>
        </w:tc>
        <w:tc>
          <w:tcPr>
            <w:tcW w:w="1278" w:type="dxa"/>
            <w:tcBorders>
              <w:top w:val="nil"/>
              <w:left w:val="nil"/>
              <w:bottom w:val="single" w:sz="4" w:space="0" w:color="auto"/>
              <w:right w:val="single" w:sz="4" w:space="0" w:color="auto"/>
            </w:tcBorders>
            <w:shd w:val="clear" w:color="auto" w:fill="auto"/>
            <w:noWrap/>
            <w:vAlign w:val="bottom"/>
            <w:hideMark/>
          </w:tcPr>
          <w:p w14:paraId="128E23E7"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2021-05-28</w:t>
            </w:r>
          </w:p>
        </w:tc>
        <w:tc>
          <w:tcPr>
            <w:tcW w:w="2298" w:type="dxa"/>
            <w:tcBorders>
              <w:top w:val="nil"/>
              <w:left w:val="nil"/>
              <w:bottom w:val="single" w:sz="4" w:space="0" w:color="auto"/>
              <w:right w:val="single" w:sz="4" w:space="0" w:color="auto"/>
            </w:tcBorders>
            <w:shd w:val="clear" w:color="auto" w:fill="auto"/>
            <w:noWrap/>
            <w:vAlign w:val="bottom"/>
            <w:hideMark/>
          </w:tcPr>
          <w:p w14:paraId="72041FB2" w14:textId="04FC6889"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w:t>
            </w:r>
            <w:r w:rsidR="00BD0634" w:rsidRPr="00BD0634">
              <w:rPr>
                <w:rFonts w:cs="Calibri"/>
                <w:color w:val="000000"/>
                <w:sz w:val="22"/>
                <w:szCs w:val="22"/>
                <w:lang w:val="en-US" w:eastAsia="en-US"/>
              </w:rPr>
              <w:t>14</w:t>
            </w:r>
            <w:r w:rsidR="00BD0634">
              <w:rPr>
                <w:rFonts w:cs="Calibri"/>
                <w:color w:val="000000"/>
                <w:sz w:val="22"/>
                <w:szCs w:val="22"/>
                <w:lang w:val="en-US" w:eastAsia="en-US"/>
              </w:rPr>
              <w:t>,</w:t>
            </w:r>
            <w:r w:rsidR="00BD0634" w:rsidRPr="00BD0634">
              <w:rPr>
                <w:rFonts w:cs="Calibri"/>
                <w:color w:val="000000"/>
                <w:sz w:val="22"/>
                <w:szCs w:val="22"/>
                <w:lang w:val="en-US" w:eastAsia="en-US"/>
              </w:rPr>
              <w:t>863</w:t>
            </w:r>
            <w:r w:rsidR="00BD0634">
              <w:rPr>
                <w:rFonts w:cs="Calibri"/>
                <w:color w:val="000000"/>
                <w:sz w:val="22"/>
                <w:szCs w:val="22"/>
                <w:lang w:val="en-US" w:eastAsia="en-US"/>
              </w:rPr>
              <w:t>,</w:t>
            </w:r>
            <w:r w:rsidR="00BD0634" w:rsidRPr="00BD0634">
              <w:rPr>
                <w:rFonts w:cs="Calibri"/>
                <w:color w:val="000000"/>
                <w:sz w:val="22"/>
                <w:szCs w:val="22"/>
                <w:lang w:val="en-US" w:eastAsia="en-US"/>
              </w:rPr>
              <w:t>578</w:t>
            </w:r>
            <w:r w:rsidR="00BD0634">
              <w:rPr>
                <w:rFonts w:cs="Calibri"/>
                <w:color w:val="000000"/>
                <w:sz w:val="22"/>
                <w:szCs w:val="22"/>
                <w:lang w:val="en-US" w:eastAsia="en-US"/>
              </w:rPr>
              <w:t>,</w:t>
            </w:r>
            <w:r w:rsidR="00BD0634" w:rsidRPr="00BD0634">
              <w:rPr>
                <w:rFonts w:cs="Calibri"/>
                <w:color w:val="000000"/>
                <w:sz w:val="22"/>
                <w:szCs w:val="22"/>
                <w:lang w:val="en-US" w:eastAsia="en-US"/>
              </w:rPr>
              <w:t>002</w:t>
            </w:r>
          </w:p>
        </w:tc>
        <w:tc>
          <w:tcPr>
            <w:tcW w:w="0" w:type="auto"/>
            <w:tcBorders>
              <w:top w:val="nil"/>
              <w:left w:val="nil"/>
              <w:bottom w:val="single" w:sz="4" w:space="0" w:color="auto"/>
              <w:right w:val="single" w:sz="4" w:space="0" w:color="auto"/>
            </w:tcBorders>
            <w:shd w:val="clear" w:color="auto" w:fill="auto"/>
            <w:noWrap/>
            <w:vAlign w:val="bottom"/>
            <w:hideMark/>
          </w:tcPr>
          <w:p w14:paraId="2340D425"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   </w:t>
            </w:r>
          </w:p>
        </w:tc>
      </w:tr>
      <w:tr w:rsidR="009111F9" w:rsidRPr="00C249A4" w14:paraId="4050AE97"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F3E7AC5" w14:textId="0E0A179F"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7</w:t>
            </w:r>
          </w:p>
        </w:tc>
        <w:tc>
          <w:tcPr>
            <w:tcW w:w="3399" w:type="dxa"/>
            <w:tcBorders>
              <w:top w:val="nil"/>
              <w:left w:val="nil"/>
              <w:bottom w:val="single" w:sz="4" w:space="0" w:color="auto"/>
              <w:right w:val="single" w:sz="4" w:space="0" w:color="auto"/>
            </w:tcBorders>
            <w:shd w:val="clear" w:color="auto" w:fill="auto"/>
            <w:noWrap/>
            <w:vAlign w:val="bottom"/>
            <w:hideMark/>
          </w:tcPr>
          <w:p w14:paraId="5AF8A1F8" w14:textId="0846C97B"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Ratio</w:t>
            </w:r>
            <w:r w:rsidR="00A96865">
              <w:rPr>
                <w:rFonts w:cs="Calibri"/>
                <w:b/>
                <w:bCs/>
                <w:color w:val="000000"/>
                <w:sz w:val="22"/>
                <w:szCs w:val="22"/>
                <w:lang w:val="en-US" w:eastAsia="en-US"/>
              </w:rPr>
              <w:t xml:space="preserve"> (ordinary shares to ADR)</w:t>
            </w:r>
          </w:p>
        </w:tc>
        <w:tc>
          <w:tcPr>
            <w:tcW w:w="1278" w:type="dxa"/>
            <w:tcBorders>
              <w:top w:val="nil"/>
              <w:left w:val="nil"/>
              <w:bottom w:val="single" w:sz="4" w:space="0" w:color="auto"/>
              <w:right w:val="single" w:sz="4" w:space="0" w:color="auto"/>
            </w:tcBorders>
            <w:shd w:val="clear" w:color="auto" w:fill="auto"/>
            <w:noWrap/>
            <w:vAlign w:val="bottom"/>
            <w:hideMark/>
          </w:tcPr>
          <w:p w14:paraId="0F6A8F19"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2021-05-27</w:t>
            </w:r>
          </w:p>
        </w:tc>
        <w:tc>
          <w:tcPr>
            <w:tcW w:w="2298" w:type="dxa"/>
            <w:tcBorders>
              <w:top w:val="nil"/>
              <w:left w:val="nil"/>
              <w:bottom w:val="single" w:sz="4" w:space="0" w:color="auto"/>
              <w:right w:val="single" w:sz="4" w:space="0" w:color="auto"/>
            </w:tcBorders>
            <w:shd w:val="clear" w:color="auto" w:fill="auto"/>
            <w:noWrap/>
            <w:vAlign w:val="bottom"/>
            <w:hideMark/>
          </w:tcPr>
          <w:p w14:paraId="06006A0F" w14:textId="3C36BA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8 </w:t>
            </w:r>
          </w:p>
        </w:tc>
        <w:tc>
          <w:tcPr>
            <w:tcW w:w="0" w:type="auto"/>
            <w:tcBorders>
              <w:top w:val="nil"/>
              <w:left w:val="nil"/>
              <w:bottom w:val="single" w:sz="4" w:space="0" w:color="auto"/>
              <w:right w:val="single" w:sz="4" w:space="0" w:color="auto"/>
            </w:tcBorders>
            <w:shd w:val="clear" w:color="auto" w:fill="auto"/>
            <w:noWrap/>
            <w:vAlign w:val="bottom"/>
            <w:hideMark/>
          </w:tcPr>
          <w:p w14:paraId="58F168DC"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 </w:t>
            </w:r>
          </w:p>
        </w:tc>
      </w:tr>
      <w:tr w:rsidR="009111F9" w:rsidRPr="00C249A4" w14:paraId="62C4776E"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246BB8E" w14:textId="07F41D79"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8</w:t>
            </w:r>
          </w:p>
        </w:tc>
        <w:tc>
          <w:tcPr>
            <w:tcW w:w="3399" w:type="dxa"/>
            <w:tcBorders>
              <w:top w:val="nil"/>
              <w:left w:val="nil"/>
              <w:bottom w:val="single" w:sz="4" w:space="0" w:color="auto"/>
              <w:right w:val="single" w:sz="4" w:space="0" w:color="auto"/>
            </w:tcBorders>
            <w:shd w:val="clear" w:color="auto" w:fill="auto"/>
            <w:noWrap/>
            <w:vAlign w:val="bottom"/>
            <w:hideMark/>
          </w:tcPr>
          <w:p w14:paraId="1E963B96" w14:textId="27B1743F"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 xml:space="preserve">Common Price </w:t>
            </w:r>
            <w:r w:rsidR="009111F9">
              <w:rPr>
                <w:rFonts w:cs="Calibri"/>
                <w:b/>
                <w:bCs/>
                <w:color w:val="000000"/>
                <w:sz w:val="22"/>
                <w:szCs w:val="22"/>
                <w:lang w:val="en-US" w:eastAsia="en-US"/>
              </w:rPr>
              <w:t>(</w:t>
            </w:r>
            <w:r w:rsidRPr="00DF47B8">
              <w:rPr>
                <w:rFonts w:cs="Calibri"/>
                <w:b/>
                <w:bCs/>
                <w:color w:val="000000"/>
                <w:sz w:val="22"/>
                <w:szCs w:val="22"/>
                <w:lang w:val="en-US" w:eastAsia="en-US"/>
              </w:rPr>
              <w:t>USD</w:t>
            </w:r>
            <w:r w:rsidR="009111F9">
              <w:rPr>
                <w:rFonts w:cs="Calibri"/>
                <w:b/>
                <w:bCs/>
                <w:color w:val="000000"/>
                <w:sz w:val="22"/>
                <w:szCs w:val="22"/>
                <w:lang w:val="en-US" w:eastAsia="en-US"/>
              </w:rPr>
              <w:t>)</w:t>
            </w:r>
          </w:p>
        </w:tc>
        <w:tc>
          <w:tcPr>
            <w:tcW w:w="1278" w:type="dxa"/>
            <w:tcBorders>
              <w:top w:val="nil"/>
              <w:left w:val="nil"/>
              <w:bottom w:val="single" w:sz="4" w:space="0" w:color="auto"/>
              <w:right w:val="single" w:sz="4" w:space="0" w:color="auto"/>
            </w:tcBorders>
            <w:shd w:val="clear" w:color="auto" w:fill="auto"/>
            <w:noWrap/>
            <w:vAlign w:val="bottom"/>
            <w:hideMark/>
          </w:tcPr>
          <w:p w14:paraId="0478ACDB"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2021-05-27</w:t>
            </w:r>
          </w:p>
        </w:tc>
        <w:tc>
          <w:tcPr>
            <w:tcW w:w="2298" w:type="dxa"/>
            <w:tcBorders>
              <w:top w:val="nil"/>
              <w:left w:val="nil"/>
              <w:bottom w:val="single" w:sz="4" w:space="0" w:color="auto"/>
              <w:right w:val="single" w:sz="4" w:space="0" w:color="auto"/>
            </w:tcBorders>
            <w:shd w:val="clear" w:color="auto" w:fill="auto"/>
            <w:noWrap/>
            <w:vAlign w:val="bottom"/>
            <w:hideMark/>
          </w:tcPr>
          <w:p w14:paraId="248C0C5A"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2BC2946A" w14:textId="7A6BF011" w:rsidR="00C249A4" w:rsidRPr="00DF47B8" w:rsidRDefault="0064299B" w:rsidP="00DF47B8">
            <w:pPr>
              <w:spacing w:before="0" w:after="0"/>
              <w:jc w:val="right"/>
              <w:rPr>
                <w:rFonts w:cs="Calibri"/>
                <w:color w:val="000000"/>
                <w:sz w:val="22"/>
                <w:szCs w:val="22"/>
                <w:lang w:val="en-US" w:eastAsia="en-US"/>
              </w:rPr>
            </w:pPr>
            <w:r>
              <w:rPr>
                <w:rFonts w:cs="Calibri"/>
                <w:color w:val="000000"/>
                <w:sz w:val="22"/>
                <w:szCs w:val="22"/>
                <w:lang w:val="en-US" w:eastAsia="en-US"/>
              </w:rPr>
              <w:t>215.2861632</w:t>
            </w:r>
            <w:r w:rsidR="00C249A4" w:rsidRPr="00DF47B8">
              <w:rPr>
                <w:rFonts w:cs="Calibri"/>
                <w:color w:val="000000"/>
                <w:sz w:val="22"/>
                <w:szCs w:val="22"/>
                <w:lang w:val="en-US" w:eastAsia="en-US"/>
              </w:rPr>
              <w:t xml:space="preserve">                       </w:t>
            </w:r>
          </w:p>
        </w:tc>
      </w:tr>
      <w:tr w:rsidR="009111F9" w:rsidRPr="00C249A4" w14:paraId="5CE38E8E" w14:textId="77777777" w:rsidTr="009111F9">
        <w:trPr>
          <w:trHeight w:val="288"/>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6269765" w14:textId="32528126"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9</w:t>
            </w:r>
          </w:p>
        </w:tc>
        <w:tc>
          <w:tcPr>
            <w:tcW w:w="3399" w:type="dxa"/>
            <w:tcBorders>
              <w:top w:val="nil"/>
              <w:left w:val="nil"/>
              <w:bottom w:val="single" w:sz="4" w:space="0" w:color="auto"/>
              <w:right w:val="single" w:sz="4" w:space="0" w:color="auto"/>
            </w:tcBorders>
            <w:shd w:val="clear" w:color="auto" w:fill="auto"/>
            <w:noWrap/>
            <w:vAlign w:val="bottom"/>
            <w:hideMark/>
          </w:tcPr>
          <w:p w14:paraId="318ACEC4" w14:textId="3F9AD3BF"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C</w:t>
            </w:r>
            <w:r w:rsidR="00E152F7">
              <w:rPr>
                <w:rFonts w:cs="Calibri"/>
                <w:b/>
                <w:bCs/>
                <w:color w:val="000000"/>
                <w:sz w:val="22"/>
                <w:szCs w:val="22"/>
                <w:lang w:val="en-US" w:eastAsia="en-US"/>
              </w:rPr>
              <w:t>losing</w:t>
            </w:r>
            <w:r w:rsidRPr="00DF47B8">
              <w:rPr>
                <w:rFonts w:cs="Calibri"/>
                <w:b/>
                <w:bCs/>
                <w:color w:val="000000"/>
                <w:sz w:val="22"/>
                <w:szCs w:val="22"/>
                <w:lang w:val="en-US" w:eastAsia="en-US"/>
              </w:rPr>
              <w:t xml:space="preserve"> </w:t>
            </w:r>
            <w:r w:rsidR="004B3152">
              <w:rPr>
                <w:rFonts w:cs="Calibri"/>
                <w:b/>
                <w:bCs/>
                <w:color w:val="000000"/>
                <w:sz w:val="22"/>
                <w:szCs w:val="22"/>
                <w:lang w:val="en-US" w:eastAsia="en-US"/>
              </w:rPr>
              <w:t>MV</w:t>
            </w:r>
            <w:r w:rsidRPr="00DF47B8">
              <w:rPr>
                <w:rFonts w:cs="Calibri"/>
                <w:b/>
                <w:bCs/>
                <w:color w:val="000000"/>
                <w:sz w:val="22"/>
                <w:szCs w:val="22"/>
                <w:lang w:val="en-US" w:eastAsia="en-US"/>
              </w:rPr>
              <w:t xml:space="preserve"> </w:t>
            </w:r>
            <w:r w:rsidR="009111F9">
              <w:rPr>
                <w:rFonts w:cs="Calibri"/>
                <w:b/>
                <w:bCs/>
                <w:color w:val="000000"/>
                <w:sz w:val="22"/>
                <w:szCs w:val="22"/>
                <w:lang w:val="en-US" w:eastAsia="en-US"/>
              </w:rPr>
              <w:t>(</w:t>
            </w:r>
            <w:r w:rsidRPr="00DF47B8">
              <w:rPr>
                <w:rFonts w:cs="Calibri"/>
                <w:b/>
                <w:bCs/>
                <w:color w:val="000000"/>
                <w:sz w:val="22"/>
                <w:szCs w:val="22"/>
                <w:lang w:val="en-US" w:eastAsia="en-US"/>
              </w:rPr>
              <w:t>USD</w:t>
            </w:r>
            <w:r w:rsidR="009111F9">
              <w:rPr>
                <w:rFonts w:cs="Calibri"/>
                <w:b/>
                <w:bCs/>
                <w:color w:val="000000"/>
                <w:sz w:val="22"/>
                <w:szCs w:val="22"/>
                <w:lang w:val="en-US" w:eastAsia="en-US"/>
              </w:rPr>
              <w:t>, in closing file)</w:t>
            </w:r>
          </w:p>
        </w:tc>
        <w:tc>
          <w:tcPr>
            <w:tcW w:w="1278" w:type="dxa"/>
            <w:tcBorders>
              <w:top w:val="nil"/>
              <w:left w:val="nil"/>
              <w:bottom w:val="single" w:sz="4" w:space="0" w:color="auto"/>
              <w:right w:val="single" w:sz="4" w:space="0" w:color="auto"/>
            </w:tcBorders>
            <w:shd w:val="clear" w:color="auto" w:fill="auto"/>
            <w:noWrap/>
            <w:vAlign w:val="bottom"/>
            <w:hideMark/>
          </w:tcPr>
          <w:p w14:paraId="352AFD36"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2021-05-27</w:t>
            </w:r>
          </w:p>
        </w:tc>
        <w:tc>
          <w:tcPr>
            <w:tcW w:w="2298" w:type="dxa"/>
            <w:tcBorders>
              <w:top w:val="nil"/>
              <w:left w:val="nil"/>
              <w:bottom w:val="single" w:sz="4" w:space="0" w:color="auto"/>
              <w:right w:val="single" w:sz="4" w:space="0" w:color="auto"/>
            </w:tcBorders>
            <w:shd w:val="clear" w:color="auto" w:fill="auto"/>
            <w:noWrap/>
            <w:vAlign w:val="bottom"/>
            <w:hideMark/>
          </w:tcPr>
          <w:p w14:paraId="4D40C972" w14:textId="77777777" w:rsidR="00C249A4" w:rsidRPr="00DF47B8" w:rsidRDefault="00C249A4" w:rsidP="00DF47B8">
            <w:pPr>
              <w:spacing w:before="0" w:after="0"/>
              <w:jc w:val="right"/>
              <w:rPr>
                <w:rFonts w:cs="Calibri"/>
                <w:color w:val="000000"/>
                <w:sz w:val="22"/>
                <w:szCs w:val="22"/>
                <w:lang w:val="en-US" w:eastAsia="en-US"/>
              </w:rPr>
            </w:pPr>
            <w:r w:rsidRPr="00DF47B8">
              <w:rPr>
                <w:rFonts w:cs="Calibri"/>
                <w:color w:val="000000"/>
                <w:sz w:val="22"/>
                <w:szCs w:val="22"/>
                <w:lang w:val="en-US" w:eastAsia="en-US"/>
              </w:rPr>
              <w:t xml:space="preserve">                                   -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497D0988" w14:textId="7B3970BF" w:rsidR="00C249A4" w:rsidRPr="00DF47B8" w:rsidRDefault="00CE29EC" w:rsidP="00DF47B8">
            <w:pPr>
              <w:spacing w:before="0" w:after="0"/>
              <w:jc w:val="right"/>
              <w:rPr>
                <w:rFonts w:cs="Calibri"/>
                <w:color w:val="000000"/>
                <w:sz w:val="22"/>
                <w:szCs w:val="22"/>
                <w:lang w:val="en-US" w:eastAsia="en-US"/>
              </w:rPr>
            </w:pPr>
            <w:r w:rsidRPr="00CE29EC">
              <w:rPr>
                <w:rFonts w:cs="Calibri"/>
                <w:color w:val="000000"/>
                <w:sz w:val="22"/>
                <w:szCs w:val="22"/>
                <w:lang w:val="en-US" w:eastAsia="en-US"/>
              </w:rPr>
              <w:t>399</w:t>
            </w:r>
            <w:r>
              <w:rPr>
                <w:rFonts w:cs="Calibri"/>
                <w:color w:val="000000"/>
                <w:sz w:val="22"/>
                <w:szCs w:val="22"/>
                <w:lang w:val="en-US" w:eastAsia="en-US"/>
              </w:rPr>
              <w:t>,</w:t>
            </w:r>
            <w:r w:rsidRPr="00CE29EC">
              <w:rPr>
                <w:rFonts w:cs="Calibri"/>
                <w:color w:val="000000"/>
                <w:sz w:val="22"/>
                <w:szCs w:val="22"/>
                <w:lang w:val="en-US" w:eastAsia="en-US"/>
              </w:rPr>
              <w:t>99</w:t>
            </w:r>
            <w:r w:rsidR="0064299B">
              <w:rPr>
                <w:rFonts w:cs="Calibri"/>
                <w:color w:val="000000"/>
                <w:sz w:val="22"/>
                <w:szCs w:val="22"/>
                <w:lang w:val="en-US" w:eastAsia="en-US"/>
              </w:rPr>
              <w:t>0</w:t>
            </w:r>
            <w:r>
              <w:rPr>
                <w:rFonts w:cs="Calibri"/>
                <w:color w:val="000000"/>
                <w:sz w:val="22"/>
                <w:szCs w:val="22"/>
                <w:lang w:val="en-US" w:eastAsia="en-US"/>
              </w:rPr>
              <w:t>,</w:t>
            </w:r>
            <w:r w:rsidR="0064299B">
              <w:rPr>
                <w:rFonts w:cs="Calibri"/>
                <w:color w:val="000000"/>
                <w:sz w:val="22"/>
                <w:szCs w:val="22"/>
                <w:lang w:val="en-US" w:eastAsia="en-US"/>
              </w:rPr>
              <w:t>311</w:t>
            </w:r>
            <w:r>
              <w:rPr>
                <w:rFonts w:cs="Calibri"/>
                <w:color w:val="000000"/>
                <w:sz w:val="22"/>
                <w:szCs w:val="22"/>
                <w:lang w:val="en-US" w:eastAsia="en-US"/>
              </w:rPr>
              <w:t>,</w:t>
            </w:r>
            <w:r w:rsidR="0064299B">
              <w:rPr>
                <w:rFonts w:cs="Calibri"/>
                <w:color w:val="000000"/>
                <w:sz w:val="22"/>
                <w:szCs w:val="22"/>
                <w:lang w:val="en-US" w:eastAsia="en-US"/>
              </w:rPr>
              <w:t>629</w:t>
            </w:r>
            <w:r w:rsidRPr="00CE29EC">
              <w:rPr>
                <w:rFonts w:cs="Calibri"/>
                <w:color w:val="000000"/>
                <w:sz w:val="22"/>
                <w:szCs w:val="22"/>
                <w:lang w:val="en-US" w:eastAsia="en-US"/>
              </w:rPr>
              <w:t>.</w:t>
            </w:r>
            <w:r w:rsidR="0064299B">
              <w:rPr>
                <w:rFonts w:cs="Calibri"/>
                <w:color w:val="000000"/>
                <w:sz w:val="22"/>
                <w:szCs w:val="22"/>
                <w:lang w:val="en-US" w:eastAsia="en-US"/>
              </w:rPr>
              <w:t>59</w:t>
            </w:r>
          </w:p>
        </w:tc>
      </w:tr>
      <w:tr w:rsidR="0064299B" w:rsidRPr="00C249A4" w14:paraId="3F742766" w14:textId="77777777" w:rsidTr="009111F9">
        <w:trPr>
          <w:trHeight w:val="203"/>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0E0C9DC" w14:textId="5C248DF2" w:rsidR="00C249A4" w:rsidRPr="00DF47B8" w:rsidRDefault="009111F9" w:rsidP="008208DE">
            <w:pPr>
              <w:spacing w:before="0" w:after="0"/>
              <w:jc w:val="center"/>
              <w:rPr>
                <w:rFonts w:cs="Calibri"/>
                <w:i/>
                <w:iCs/>
                <w:color w:val="000000"/>
                <w:sz w:val="22"/>
                <w:szCs w:val="22"/>
                <w:lang w:val="en-US" w:eastAsia="en-US"/>
              </w:rPr>
            </w:pPr>
            <w:r>
              <w:rPr>
                <w:rFonts w:cs="Calibri"/>
                <w:i/>
                <w:iCs/>
                <w:color w:val="000000"/>
                <w:sz w:val="22"/>
                <w:szCs w:val="22"/>
                <w:lang w:val="en-US" w:eastAsia="en-US"/>
              </w:rPr>
              <w:t>10</w:t>
            </w:r>
          </w:p>
        </w:tc>
        <w:tc>
          <w:tcPr>
            <w:tcW w:w="3399" w:type="dxa"/>
            <w:tcBorders>
              <w:top w:val="nil"/>
              <w:left w:val="nil"/>
              <w:bottom w:val="single" w:sz="4" w:space="0" w:color="auto"/>
              <w:right w:val="single" w:sz="4" w:space="0" w:color="auto"/>
            </w:tcBorders>
            <w:shd w:val="clear" w:color="auto" w:fill="auto"/>
            <w:noWrap/>
            <w:vAlign w:val="bottom"/>
            <w:hideMark/>
          </w:tcPr>
          <w:p w14:paraId="6AACC274" w14:textId="2C9EAE18" w:rsidR="00C249A4" w:rsidRPr="00DF47B8" w:rsidRDefault="00C249A4" w:rsidP="00253D56">
            <w:pPr>
              <w:spacing w:before="0" w:after="0"/>
              <w:jc w:val="left"/>
              <w:rPr>
                <w:rFonts w:cs="Calibri"/>
                <w:b/>
                <w:bCs/>
                <w:color w:val="000000"/>
                <w:sz w:val="22"/>
                <w:szCs w:val="22"/>
                <w:lang w:val="en-US" w:eastAsia="en-US"/>
              </w:rPr>
            </w:pPr>
            <w:r w:rsidRPr="00DF47B8">
              <w:rPr>
                <w:rFonts w:cs="Calibri"/>
                <w:b/>
                <w:bCs/>
                <w:color w:val="000000"/>
                <w:sz w:val="22"/>
                <w:szCs w:val="22"/>
                <w:lang w:val="en-US" w:eastAsia="en-US"/>
              </w:rPr>
              <w:t>O</w:t>
            </w:r>
            <w:r w:rsidR="00E152F7">
              <w:rPr>
                <w:rFonts w:cs="Calibri"/>
                <w:b/>
                <w:bCs/>
                <w:color w:val="000000"/>
                <w:sz w:val="22"/>
                <w:szCs w:val="22"/>
                <w:lang w:val="en-US" w:eastAsia="en-US"/>
              </w:rPr>
              <w:t>pening</w:t>
            </w:r>
            <w:r w:rsidRPr="00DF47B8">
              <w:rPr>
                <w:rFonts w:cs="Calibri"/>
                <w:b/>
                <w:bCs/>
                <w:color w:val="000000"/>
                <w:sz w:val="22"/>
                <w:szCs w:val="22"/>
                <w:lang w:val="en-US" w:eastAsia="en-US"/>
              </w:rPr>
              <w:t xml:space="preserve"> M</w:t>
            </w:r>
            <w:r w:rsidR="004B3152">
              <w:rPr>
                <w:rFonts w:cs="Calibri"/>
                <w:b/>
                <w:bCs/>
                <w:color w:val="000000"/>
                <w:sz w:val="22"/>
                <w:szCs w:val="22"/>
                <w:lang w:val="en-US" w:eastAsia="en-US"/>
              </w:rPr>
              <w:t>V</w:t>
            </w:r>
            <w:r w:rsidRPr="00DF47B8">
              <w:rPr>
                <w:rFonts w:cs="Calibri"/>
                <w:b/>
                <w:bCs/>
                <w:color w:val="000000"/>
                <w:sz w:val="22"/>
                <w:szCs w:val="22"/>
                <w:lang w:val="en-US" w:eastAsia="en-US"/>
              </w:rPr>
              <w:t xml:space="preserve"> </w:t>
            </w:r>
            <w:r w:rsidR="009111F9">
              <w:rPr>
                <w:rFonts w:cs="Calibri"/>
                <w:b/>
                <w:bCs/>
                <w:color w:val="000000"/>
                <w:sz w:val="22"/>
                <w:szCs w:val="22"/>
                <w:lang w:val="en-US" w:eastAsia="en-US"/>
              </w:rPr>
              <w:t>(</w:t>
            </w:r>
            <w:r w:rsidR="00943692">
              <w:rPr>
                <w:rFonts w:cs="Calibri"/>
                <w:b/>
                <w:bCs/>
                <w:color w:val="000000"/>
                <w:sz w:val="22"/>
                <w:szCs w:val="22"/>
                <w:lang w:val="en-US" w:eastAsia="en-US"/>
              </w:rPr>
              <w:t>HKD</w:t>
            </w:r>
            <w:r w:rsidR="009111F9">
              <w:rPr>
                <w:rFonts w:cs="Calibri"/>
                <w:b/>
                <w:bCs/>
                <w:color w:val="000000"/>
                <w:sz w:val="22"/>
                <w:szCs w:val="22"/>
                <w:lang w:val="en-US" w:eastAsia="en-US"/>
              </w:rPr>
              <w:t>, in opening file)</w:t>
            </w:r>
          </w:p>
        </w:tc>
        <w:tc>
          <w:tcPr>
            <w:tcW w:w="1278" w:type="dxa"/>
            <w:tcBorders>
              <w:top w:val="nil"/>
              <w:left w:val="nil"/>
              <w:bottom w:val="single" w:sz="4" w:space="0" w:color="auto"/>
              <w:right w:val="single" w:sz="4" w:space="0" w:color="auto"/>
            </w:tcBorders>
            <w:shd w:val="clear" w:color="auto" w:fill="auto"/>
            <w:noWrap/>
            <w:vAlign w:val="bottom"/>
            <w:hideMark/>
          </w:tcPr>
          <w:p w14:paraId="00ACCB90" w14:textId="77777777" w:rsidR="00C249A4" w:rsidRPr="00DF47B8" w:rsidRDefault="00C249A4" w:rsidP="00253D56">
            <w:pPr>
              <w:spacing w:before="0" w:after="0"/>
              <w:jc w:val="right"/>
              <w:rPr>
                <w:rFonts w:cs="Calibri"/>
                <w:color w:val="000000"/>
                <w:sz w:val="22"/>
                <w:szCs w:val="22"/>
                <w:lang w:val="en-US" w:eastAsia="en-US"/>
              </w:rPr>
            </w:pPr>
            <w:r w:rsidRPr="00DF47B8">
              <w:rPr>
                <w:rFonts w:cs="Calibri"/>
                <w:color w:val="000000"/>
                <w:sz w:val="22"/>
                <w:szCs w:val="22"/>
                <w:lang w:val="en-US" w:eastAsia="en-US"/>
              </w:rPr>
              <w:t>2021-05-28</w:t>
            </w:r>
          </w:p>
        </w:tc>
        <w:tc>
          <w:tcPr>
            <w:tcW w:w="2298" w:type="dxa"/>
            <w:tcBorders>
              <w:top w:val="nil"/>
              <w:left w:val="nil"/>
              <w:bottom w:val="single" w:sz="4" w:space="0" w:color="auto"/>
              <w:right w:val="single" w:sz="4" w:space="0" w:color="auto"/>
            </w:tcBorders>
            <w:shd w:val="clear" w:color="auto" w:fill="D9D9D9" w:themeFill="background1" w:themeFillShade="D9"/>
            <w:noWrap/>
            <w:vAlign w:val="bottom"/>
          </w:tcPr>
          <w:p w14:paraId="000A0A9D" w14:textId="5F2E56C6" w:rsidR="00C249A4" w:rsidRPr="00DF47B8" w:rsidRDefault="009111F9" w:rsidP="00DF47B8">
            <w:pPr>
              <w:spacing w:before="0" w:after="0"/>
              <w:jc w:val="right"/>
              <w:rPr>
                <w:rFonts w:cs="Calibri"/>
                <w:color w:val="000000"/>
                <w:sz w:val="22"/>
                <w:szCs w:val="22"/>
                <w:lang w:val="en-US" w:eastAsia="en-US"/>
              </w:rPr>
            </w:pPr>
            <w:r w:rsidRPr="009111F9">
              <w:rPr>
                <w:rFonts w:cs="Calibri"/>
                <w:color w:val="000000"/>
                <w:sz w:val="22"/>
                <w:szCs w:val="22"/>
                <w:lang w:val="en-US" w:eastAsia="en-US"/>
              </w:rPr>
              <w:t>3</w:t>
            </w:r>
            <w:r>
              <w:rPr>
                <w:rFonts w:cs="Calibri"/>
                <w:color w:val="000000"/>
                <w:sz w:val="22"/>
                <w:szCs w:val="22"/>
                <w:lang w:val="en-US" w:eastAsia="en-US"/>
              </w:rPr>
              <w:t>,</w:t>
            </w:r>
            <w:r w:rsidRPr="009111F9">
              <w:rPr>
                <w:rFonts w:cs="Calibri"/>
                <w:color w:val="000000"/>
                <w:sz w:val="22"/>
                <w:szCs w:val="22"/>
                <w:lang w:val="en-US" w:eastAsia="en-US"/>
              </w:rPr>
              <w:t>103</w:t>
            </w:r>
            <w:r>
              <w:rPr>
                <w:rFonts w:cs="Calibri"/>
                <w:color w:val="000000"/>
                <w:sz w:val="22"/>
                <w:szCs w:val="22"/>
                <w:lang w:val="en-US" w:eastAsia="en-US"/>
              </w:rPr>
              <w:t>,</w:t>
            </w:r>
            <w:r w:rsidRPr="009111F9">
              <w:rPr>
                <w:rFonts w:cs="Calibri"/>
                <w:color w:val="000000"/>
                <w:sz w:val="22"/>
                <w:szCs w:val="22"/>
                <w:lang w:val="en-US" w:eastAsia="en-US"/>
              </w:rPr>
              <w:t>515</w:t>
            </w:r>
            <w:r>
              <w:rPr>
                <w:rFonts w:cs="Calibri"/>
                <w:color w:val="000000"/>
                <w:sz w:val="22"/>
                <w:szCs w:val="22"/>
                <w:lang w:val="en-US" w:eastAsia="en-US"/>
              </w:rPr>
              <w:t>,</w:t>
            </w:r>
            <w:r w:rsidRPr="009111F9">
              <w:rPr>
                <w:rFonts w:cs="Calibri"/>
                <w:color w:val="000000"/>
                <w:sz w:val="22"/>
                <w:szCs w:val="22"/>
                <w:lang w:val="en-US" w:eastAsia="en-US"/>
              </w:rPr>
              <w:t>086</w:t>
            </w:r>
            <w:r>
              <w:rPr>
                <w:rFonts w:cs="Calibri"/>
                <w:color w:val="000000"/>
                <w:sz w:val="22"/>
                <w:szCs w:val="22"/>
                <w:lang w:val="en-US" w:eastAsia="en-US"/>
              </w:rPr>
              <w:t>,</w:t>
            </w:r>
            <w:r w:rsidRPr="009111F9">
              <w:rPr>
                <w:rFonts w:cs="Calibri"/>
                <w:color w:val="000000"/>
                <w:sz w:val="22"/>
                <w:szCs w:val="22"/>
                <w:lang w:val="en-US" w:eastAsia="en-US"/>
              </w:rPr>
              <w:t>8</w:t>
            </w:r>
            <w:r w:rsidR="00CE29EC">
              <w:rPr>
                <w:rFonts w:cs="Calibri"/>
                <w:color w:val="000000"/>
                <w:sz w:val="22"/>
                <w:szCs w:val="22"/>
                <w:lang w:val="en-US" w:eastAsia="en-US"/>
              </w:rPr>
              <w:t>17</w:t>
            </w:r>
            <w:r w:rsidRPr="009111F9">
              <w:rPr>
                <w:rFonts w:cs="Calibri"/>
                <w:color w:val="000000"/>
                <w:sz w:val="22"/>
                <w:szCs w:val="22"/>
                <w:lang w:val="en-US" w:eastAsia="en-US"/>
              </w:rPr>
              <w:t>.</w:t>
            </w:r>
            <w:r w:rsidR="00CE29EC">
              <w:rPr>
                <w:rFonts w:cs="Calibri"/>
                <w:color w:val="000000"/>
                <w:sz w:val="22"/>
                <w:szCs w:val="22"/>
                <w:lang w:val="en-US" w:eastAsia="en-US"/>
              </w:rPr>
              <w:t>60</w:t>
            </w:r>
          </w:p>
        </w:tc>
        <w:tc>
          <w:tcPr>
            <w:tcW w:w="0" w:type="auto"/>
            <w:tcBorders>
              <w:top w:val="nil"/>
              <w:left w:val="nil"/>
              <w:bottom w:val="single" w:sz="4" w:space="0" w:color="auto"/>
              <w:right w:val="single" w:sz="4" w:space="0" w:color="auto"/>
            </w:tcBorders>
            <w:shd w:val="clear" w:color="auto" w:fill="auto"/>
            <w:noWrap/>
            <w:vAlign w:val="bottom"/>
          </w:tcPr>
          <w:p w14:paraId="1C45DE76" w14:textId="7F506182" w:rsidR="00C249A4" w:rsidRPr="00DF47B8" w:rsidRDefault="00CE29EC" w:rsidP="00DF47B8">
            <w:pPr>
              <w:spacing w:before="0" w:after="0"/>
              <w:jc w:val="right"/>
              <w:rPr>
                <w:rFonts w:cs="Calibri"/>
                <w:color w:val="000000"/>
                <w:sz w:val="22"/>
                <w:szCs w:val="22"/>
                <w:lang w:val="en-US" w:eastAsia="en-US"/>
              </w:rPr>
            </w:pPr>
            <w:r>
              <w:rPr>
                <w:rFonts w:cs="Calibri"/>
                <w:color w:val="000000"/>
                <w:sz w:val="22"/>
                <w:szCs w:val="22"/>
                <w:lang w:val="en-US" w:eastAsia="en-US"/>
              </w:rPr>
              <w:t>-</w:t>
            </w:r>
          </w:p>
        </w:tc>
      </w:tr>
    </w:tbl>
    <w:p w14:paraId="0D747D3C" w14:textId="1A6BC932" w:rsidR="009F6A63" w:rsidRPr="00DF47B8" w:rsidRDefault="009F6A63" w:rsidP="00C249A4">
      <w:pPr>
        <w:spacing w:before="0" w:after="160" w:line="259" w:lineRule="auto"/>
        <w:rPr>
          <w:lang w:val="en-GB"/>
        </w:rPr>
      </w:pPr>
    </w:p>
    <w:tbl>
      <w:tblPr>
        <w:tblW w:w="0" w:type="auto"/>
        <w:tblLook w:val="04A0" w:firstRow="1" w:lastRow="0" w:firstColumn="1" w:lastColumn="0" w:noHBand="0" w:noVBand="1"/>
      </w:tblPr>
      <w:tblGrid>
        <w:gridCol w:w="562"/>
        <w:gridCol w:w="6096"/>
      </w:tblGrid>
      <w:tr w:rsidR="009F6A63" w:rsidRPr="00DF47B8" w14:paraId="3D024C0E" w14:textId="77777777" w:rsidTr="00DF47B8">
        <w:trPr>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38962" w14:textId="77777777" w:rsidR="009F6A63" w:rsidRPr="00253D56" w:rsidRDefault="009F6A63" w:rsidP="00253D56">
            <w:pPr>
              <w:spacing w:before="0" w:after="0"/>
              <w:jc w:val="left"/>
              <w:rPr>
                <w:rFonts w:cs="Calibri"/>
                <w:i/>
                <w:iCs/>
                <w:color w:val="000000"/>
                <w:sz w:val="22"/>
                <w:szCs w:val="22"/>
                <w:lang w:val="en-US" w:eastAsia="en-US"/>
              </w:rPr>
            </w:pPr>
            <w:r w:rsidRPr="00253D56">
              <w:rPr>
                <w:rFonts w:cs="Calibri"/>
                <w:i/>
                <w:iCs/>
                <w:color w:val="000000"/>
                <w:sz w:val="22"/>
                <w:szCs w:val="22"/>
                <w:lang w:val="en-US" w:eastAsia="en-US"/>
              </w:rPr>
              <w:t> </w:t>
            </w:r>
          </w:p>
        </w:tc>
        <w:tc>
          <w:tcPr>
            <w:tcW w:w="6096" w:type="dxa"/>
            <w:tcBorders>
              <w:left w:val="nil"/>
            </w:tcBorders>
            <w:shd w:val="clear" w:color="auto" w:fill="auto"/>
            <w:noWrap/>
            <w:vAlign w:val="bottom"/>
            <w:hideMark/>
          </w:tcPr>
          <w:p w14:paraId="0AEA3574" w14:textId="3518585A" w:rsidR="009F6A63" w:rsidRPr="00253D56" w:rsidRDefault="009F6A63" w:rsidP="00253D56">
            <w:pPr>
              <w:spacing w:before="0" w:after="0"/>
              <w:jc w:val="left"/>
              <w:rPr>
                <w:rFonts w:cs="Calibri"/>
                <w:i/>
                <w:iCs/>
                <w:color w:val="000000"/>
                <w:sz w:val="22"/>
                <w:szCs w:val="22"/>
                <w:lang w:val="en-US" w:eastAsia="en-US"/>
              </w:rPr>
            </w:pPr>
            <w:r>
              <w:rPr>
                <w:rFonts w:cs="Calibri"/>
                <w:i/>
                <w:iCs/>
                <w:color w:val="000000"/>
                <w:sz w:val="22"/>
                <w:szCs w:val="22"/>
                <w:lang w:val="en-US" w:eastAsia="en-US"/>
              </w:rPr>
              <w:t>Cell where value is provided</w:t>
            </w:r>
          </w:p>
        </w:tc>
      </w:tr>
      <w:tr w:rsidR="009F6A63" w:rsidRPr="00DF47B8" w14:paraId="067C4172" w14:textId="77777777" w:rsidTr="00DF47B8">
        <w:trPr>
          <w:trHeight w:val="288"/>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2D725C3" w14:textId="54C6E934" w:rsidR="009F6A63" w:rsidRPr="00253D56" w:rsidRDefault="009F6A63" w:rsidP="00253D56">
            <w:pPr>
              <w:spacing w:before="0" w:after="0"/>
              <w:jc w:val="right"/>
              <w:rPr>
                <w:rFonts w:cs="Calibri"/>
                <w:i/>
                <w:iCs/>
                <w:color w:val="000000"/>
                <w:sz w:val="22"/>
                <w:szCs w:val="22"/>
                <w:lang w:val="en-US" w:eastAsia="en-US"/>
              </w:rPr>
            </w:pPr>
          </w:p>
        </w:tc>
        <w:tc>
          <w:tcPr>
            <w:tcW w:w="6096" w:type="dxa"/>
            <w:tcBorders>
              <w:top w:val="nil"/>
              <w:left w:val="nil"/>
            </w:tcBorders>
            <w:shd w:val="clear" w:color="auto" w:fill="auto"/>
            <w:noWrap/>
            <w:vAlign w:val="bottom"/>
            <w:hideMark/>
          </w:tcPr>
          <w:p w14:paraId="42D093CA" w14:textId="4D5951F8" w:rsidR="009F6A63" w:rsidRPr="00DF47B8" w:rsidRDefault="009F6A63" w:rsidP="00253D56">
            <w:pPr>
              <w:spacing w:before="0" w:after="0"/>
              <w:jc w:val="left"/>
              <w:rPr>
                <w:rFonts w:cs="Calibri"/>
                <w:i/>
                <w:iCs/>
                <w:color w:val="000000"/>
                <w:sz w:val="22"/>
                <w:szCs w:val="22"/>
                <w:lang w:val="en-US" w:eastAsia="en-US"/>
              </w:rPr>
            </w:pPr>
            <w:r w:rsidRPr="00DF47B8">
              <w:rPr>
                <w:rFonts w:cs="Calibri"/>
                <w:i/>
                <w:iCs/>
                <w:color w:val="000000"/>
                <w:sz w:val="22"/>
                <w:szCs w:val="22"/>
                <w:lang w:val="en-US" w:eastAsia="en-US"/>
              </w:rPr>
              <w:t>Cell where value is calculated (see “Detailed Calculation”)</w:t>
            </w:r>
          </w:p>
        </w:tc>
      </w:tr>
    </w:tbl>
    <w:p w14:paraId="5E537C4A" w14:textId="77777777" w:rsidR="009F6A63" w:rsidRDefault="009F6A63" w:rsidP="00C249A4">
      <w:pPr>
        <w:spacing w:before="0" w:after="160" w:line="259" w:lineRule="auto"/>
        <w:rPr>
          <w:lang w:val="en-GB"/>
        </w:rPr>
      </w:pPr>
    </w:p>
    <w:p w14:paraId="494B67F1" w14:textId="1E63C020" w:rsidR="00C249A4" w:rsidRDefault="00C249A4" w:rsidP="00C249A4">
      <w:pPr>
        <w:spacing w:before="0" w:after="160" w:line="259" w:lineRule="auto"/>
        <w:rPr>
          <w:lang w:val="en-GB"/>
        </w:rPr>
      </w:pPr>
      <w:r w:rsidRPr="00DF47B8">
        <w:rPr>
          <w:lang w:val="en-GB"/>
        </w:rPr>
        <w:t>On 2021-05-27, the index holds BABA-</w:t>
      </w:r>
      <w:r w:rsidR="008208DE">
        <w:rPr>
          <w:lang w:val="en-GB"/>
        </w:rPr>
        <w:t>US</w:t>
      </w:r>
      <w:r w:rsidRPr="00DF47B8">
        <w:rPr>
          <w:lang w:val="en-GB"/>
        </w:rPr>
        <w:t xml:space="preserve"> with </w:t>
      </w:r>
      <w:r w:rsidR="00E152F7">
        <w:rPr>
          <w:lang w:val="en-GB"/>
        </w:rPr>
        <w:t>the number of shares</w:t>
      </w:r>
      <w:r w:rsidRPr="00DF47B8">
        <w:rPr>
          <w:lang w:val="en-GB"/>
        </w:rPr>
        <w:t xml:space="preserve"> shown in D</w:t>
      </w:r>
      <w:r w:rsidR="00703780">
        <w:rPr>
          <w:lang w:val="en-GB"/>
        </w:rPr>
        <w:t>5</w:t>
      </w:r>
      <w:r w:rsidRPr="00DF47B8">
        <w:rPr>
          <w:lang w:val="en-GB"/>
        </w:rPr>
        <w:t>.</w:t>
      </w:r>
    </w:p>
    <w:p w14:paraId="1868F4C1" w14:textId="6A517CD7" w:rsidR="009F6A63" w:rsidRDefault="009F6A63" w:rsidP="00C249A4">
      <w:pPr>
        <w:spacing w:before="0" w:after="160" w:line="259" w:lineRule="auto"/>
        <w:rPr>
          <w:lang w:val="en-GB"/>
        </w:rPr>
      </w:pPr>
      <w:r w:rsidRPr="009F6A63">
        <w:rPr>
          <w:lang w:val="en-GB"/>
        </w:rPr>
        <w:t>The index rebalances on close of business 2021-05-27, effective open 2021-05-28.</w:t>
      </w:r>
    </w:p>
    <w:p w14:paraId="285EF954" w14:textId="012FDB50" w:rsidR="009F6A63" w:rsidRDefault="009F6A63" w:rsidP="00C249A4">
      <w:pPr>
        <w:spacing w:before="0" w:after="160" w:line="259" w:lineRule="auto"/>
        <w:rPr>
          <w:lang w:val="en-GB"/>
        </w:rPr>
      </w:pPr>
      <w:r w:rsidRPr="009F6A63">
        <w:rPr>
          <w:lang w:val="en-GB"/>
        </w:rPr>
        <w:t xml:space="preserve">The rebalance </w:t>
      </w:r>
      <w:r>
        <w:rPr>
          <w:lang w:val="en-GB"/>
        </w:rPr>
        <w:t xml:space="preserve">removes BABA-US and </w:t>
      </w:r>
      <w:r w:rsidRPr="009F6A63">
        <w:rPr>
          <w:lang w:val="en-GB"/>
        </w:rPr>
        <w:t>add</w:t>
      </w:r>
      <w:r w:rsidR="0060256C">
        <w:rPr>
          <w:lang w:val="en-GB"/>
        </w:rPr>
        <w:t>s</w:t>
      </w:r>
      <w:r w:rsidRPr="009F6A63">
        <w:rPr>
          <w:lang w:val="en-GB"/>
        </w:rPr>
        <w:t xml:space="preserve"> 9988-HK with target shares shown in cell C</w:t>
      </w:r>
      <w:r w:rsidR="0060256C">
        <w:rPr>
          <w:lang w:val="en-GB"/>
        </w:rPr>
        <w:t>6</w:t>
      </w:r>
      <w:r>
        <w:rPr>
          <w:lang w:val="en-GB"/>
        </w:rPr>
        <w:t xml:space="preserve"> on effective open 2021-05-28.</w:t>
      </w:r>
    </w:p>
    <w:p w14:paraId="07B534D7" w14:textId="198AACB7" w:rsidR="009F6A63" w:rsidRDefault="009F6A63" w:rsidP="00C249A4">
      <w:pPr>
        <w:spacing w:before="0" w:after="160" w:line="259" w:lineRule="auto"/>
        <w:rPr>
          <w:lang w:val="en-GB"/>
        </w:rPr>
      </w:pPr>
      <w:r w:rsidRPr="009F6A63">
        <w:rPr>
          <w:lang w:val="en-GB"/>
        </w:rPr>
        <w:t>The rebalance needs to convert all existing ADR shares (cell D</w:t>
      </w:r>
      <w:r w:rsidR="0060256C">
        <w:rPr>
          <w:lang w:val="en-GB"/>
        </w:rPr>
        <w:t>5</w:t>
      </w:r>
      <w:r w:rsidRPr="009F6A63">
        <w:rPr>
          <w:lang w:val="en-GB"/>
        </w:rPr>
        <w:t xml:space="preserve">) to the </w:t>
      </w:r>
      <w:r w:rsidR="0060256C">
        <w:rPr>
          <w:lang w:val="en-GB"/>
        </w:rPr>
        <w:t>ordinary</w:t>
      </w:r>
      <w:r w:rsidRPr="009F6A63">
        <w:rPr>
          <w:lang w:val="en-GB"/>
        </w:rPr>
        <w:t xml:space="preserve"> </w:t>
      </w:r>
      <w:r w:rsidR="0060256C">
        <w:rPr>
          <w:lang w:val="en-GB"/>
        </w:rPr>
        <w:t>shares</w:t>
      </w:r>
      <w:r w:rsidRPr="009F6A63">
        <w:rPr>
          <w:lang w:val="en-GB"/>
        </w:rPr>
        <w:t xml:space="preserve"> </w:t>
      </w:r>
      <w:r w:rsidR="0060256C">
        <w:rPr>
          <w:lang w:val="en-GB"/>
        </w:rPr>
        <w:t>(</w:t>
      </w:r>
      <w:r w:rsidRPr="009F6A63">
        <w:rPr>
          <w:lang w:val="en-GB"/>
        </w:rPr>
        <w:t>9988-HK</w:t>
      </w:r>
      <w:r w:rsidR="0060256C">
        <w:rPr>
          <w:lang w:val="en-GB"/>
        </w:rPr>
        <w:t>)</w:t>
      </w:r>
      <w:r w:rsidRPr="009F6A63">
        <w:rPr>
          <w:lang w:val="en-GB"/>
        </w:rPr>
        <w:t xml:space="preserve"> according to the fungibility </w:t>
      </w:r>
      <w:r>
        <w:rPr>
          <w:lang w:val="en-GB"/>
        </w:rPr>
        <w:t xml:space="preserve">feature </w:t>
      </w:r>
      <w:r w:rsidRPr="009F6A63">
        <w:rPr>
          <w:lang w:val="en-GB"/>
        </w:rPr>
        <w:t>of the ADR.</w:t>
      </w:r>
      <w:r w:rsidR="00E152F7">
        <w:rPr>
          <w:lang w:val="en-GB"/>
        </w:rPr>
        <w:t xml:space="preserve"> </w:t>
      </w:r>
    </w:p>
    <w:p w14:paraId="3CFC32A5" w14:textId="77777777" w:rsidR="009F6A63" w:rsidRPr="00DF47B8" w:rsidRDefault="009F6A63" w:rsidP="00DF47B8">
      <w:pPr>
        <w:spacing w:before="0" w:after="160" w:line="259" w:lineRule="auto"/>
        <w:rPr>
          <w:lang w:val="en-GB"/>
        </w:rPr>
      </w:pPr>
    </w:p>
    <w:p w14:paraId="3915FE31" w14:textId="2D51D8D1" w:rsidR="00C249A4" w:rsidRDefault="00C249A4" w:rsidP="00C249A4">
      <w:pPr>
        <w:spacing w:before="0" w:after="160" w:line="259" w:lineRule="auto"/>
        <w:jc w:val="left"/>
        <w:rPr>
          <w:b/>
          <w:bCs/>
          <w:sz w:val="28"/>
          <w:szCs w:val="28"/>
          <w:lang w:val="en-GB"/>
        </w:rPr>
      </w:pPr>
      <w:r>
        <w:rPr>
          <w:b/>
          <w:bCs/>
          <w:sz w:val="28"/>
          <w:szCs w:val="28"/>
          <w:lang w:val="en-GB"/>
        </w:rPr>
        <w:t>Detailed Calculation</w:t>
      </w:r>
    </w:p>
    <w:p w14:paraId="2E366115" w14:textId="00854C27" w:rsidR="00C249A4" w:rsidRPr="009F6A63" w:rsidRDefault="009F6A63" w:rsidP="00DF47B8">
      <w:pPr>
        <w:spacing w:before="0" w:after="160" w:line="259" w:lineRule="auto"/>
        <w:rPr>
          <w:lang w:val="en-GB"/>
        </w:rPr>
      </w:pPr>
      <w:r w:rsidRPr="009F6A63">
        <w:rPr>
          <w:lang w:val="en-GB"/>
        </w:rPr>
        <w:t>(1</w:t>
      </w:r>
      <w:r>
        <w:rPr>
          <w:lang w:val="en-GB"/>
        </w:rPr>
        <w:t xml:space="preserve">) </w:t>
      </w:r>
      <w:r w:rsidRPr="009F6A63">
        <w:rPr>
          <w:lang w:val="en-GB"/>
        </w:rPr>
        <w:t>Official HKD closing prices of 9988-HK is provided in cell C3 for 2021-05-27.</w:t>
      </w:r>
    </w:p>
    <w:p w14:paraId="285CF858" w14:textId="72F247B2" w:rsidR="009F6A63" w:rsidRDefault="009F6A63" w:rsidP="009F6A63">
      <w:pPr>
        <w:spacing w:before="0" w:after="160" w:line="259" w:lineRule="auto"/>
        <w:rPr>
          <w:lang w:val="en-GB"/>
        </w:rPr>
      </w:pPr>
      <w:r w:rsidRPr="009F6A63">
        <w:rPr>
          <w:lang w:val="en-GB"/>
        </w:rPr>
        <w:t>(</w:t>
      </w:r>
      <w:r w:rsidR="00703780">
        <w:rPr>
          <w:lang w:val="en-GB"/>
        </w:rPr>
        <w:t>2</w:t>
      </w:r>
      <w:r w:rsidRPr="009F6A63">
        <w:rPr>
          <w:lang w:val="en-GB"/>
        </w:rPr>
        <w:t xml:space="preserve">) The 4pm London </w:t>
      </w:r>
      <w:r w:rsidR="00703780">
        <w:rPr>
          <w:lang w:val="en-GB"/>
        </w:rPr>
        <w:t>FX rate</w:t>
      </w:r>
      <w:r w:rsidRPr="009F6A63">
        <w:rPr>
          <w:lang w:val="en-GB"/>
        </w:rPr>
        <w:t xml:space="preserve"> for HKD/USD on 2021-05-27 is provided in C</w:t>
      </w:r>
      <w:r w:rsidR="00703780">
        <w:rPr>
          <w:lang w:val="en-GB"/>
        </w:rPr>
        <w:t>4</w:t>
      </w:r>
      <w:r w:rsidRPr="009F6A63">
        <w:rPr>
          <w:lang w:val="en-GB"/>
        </w:rPr>
        <w:t>.</w:t>
      </w:r>
    </w:p>
    <w:p w14:paraId="5F40FDA6" w14:textId="3A39C0A8" w:rsidR="00B3321D" w:rsidRPr="00DF47B8" w:rsidRDefault="00B3321D" w:rsidP="00703780">
      <w:pPr>
        <w:spacing w:before="0" w:after="160" w:line="259" w:lineRule="auto"/>
        <w:rPr>
          <w:i/>
          <w:iCs/>
          <w:lang w:val="en-GB"/>
        </w:rPr>
      </w:pPr>
      <w:r w:rsidRPr="00B3321D">
        <w:rPr>
          <w:lang w:val="en-GB"/>
        </w:rPr>
        <w:t>(</w:t>
      </w:r>
      <w:r w:rsidR="00703780">
        <w:rPr>
          <w:lang w:val="en-GB"/>
        </w:rPr>
        <w:t>3</w:t>
      </w:r>
      <w:r w:rsidRPr="00B3321D">
        <w:rPr>
          <w:lang w:val="en-GB"/>
        </w:rPr>
        <w:t xml:space="preserve">) </w:t>
      </w:r>
      <w:r w:rsidR="00703780">
        <w:rPr>
          <w:lang w:val="en-GB"/>
        </w:rPr>
        <w:t xml:space="preserve">The ADR </w:t>
      </w:r>
      <w:r w:rsidR="002D15A7">
        <w:rPr>
          <w:lang w:val="en-GB"/>
        </w:rPr>
        <w:t xml:space="preserve">conversion </w:t>
      </w:r>
      <w:r w:rsidR="00703780">
        <w:rPr>
          <w:lang w:val="en-GB"/>
        </w:rPr>
        <w:t>ratio is provided in cell C7</w:t>
      </w:r>
      <w:r w:rsidR="0060256C">
        <w:rPr>
          <w:lang w:val="en-GB"/>
        </w:rPr>
        <w:t>.</w:t>
      </w:r>
    </w:p>
    <w:p w14:paraId="09DD01AD" w14:textId="42F4A084" w:rsidR="00B3321D" w:rsidRDefault="00B3321D" w:rsidP="009F6A63">
      <w:pPr>
        <w:spacing w:before="0" w:after="160" w:line="259" w:lineRule="auto"/>
        <w:rPr>
          <w:lang w:val="en-GB"/>
        </w:rPr>
      </w:pPr>
      <w:r>
        <w:rPr>
          <w:lang w:val="en-GB"/>
        </w:rPr>
        <w:t>(</w:t>
      </w:r>
      <w:r w:rsidR="00C21B33">
        <w:rPr>
          <w:lang w:val="en-GB"/>
        </w:rPr>
        <w:t>4</w:t>
      </w:r>
      <w:r>
        <w:rPr>
          <w:lang w:val="en-GB"/>
        </w:rPr>
        <w:t xml:space="preserve">) </w:t>
      </w:r>
      <w:r w:rsidRPr="00B3321D">
        <w:rPr>
          <w:lang w:val="en-GB"/>
        </w:rPr>
        <w:t>In D</w:t>
      </w:r>
      <w:r w:rsidR="002D15A7">
        <w:rPr>
          <w:lang w:val="en-GB"/>
        </w:rPr>
        <w:t>8</w:t>
      </w:r>
      <w:r w:rsidRPr="00B3321D">
        <w:rPr>
          <w:lang w:val="en-GB"/>
        </w:rPr>
        <w:t>, the common price for conversion is calculated using the HKD closing price of 9988-HK</w:t>
      </w:r>
      <w:r>
        <w:rPr>
          <w:lang w:val="en-GB"/>
        </w:rPr>
        <w:t xml:space="preserve"> from C3</w:t>
      </w:r>
      <w:r w:rsidRPr="00B3321D">
        <w:rPr>
          <w:lang w:val="en-GB"/>
        </w:rPr>
        <w:t xml:space="preserve">, converted at the FX </w:t>
      </w:r>
      <w:r w:rsidR="0060256C">
        <w:rPr>
          <w:lang w:val="en-GB"/>
        </w:rPr>
        <w:t xml:space="preserve">rate </w:t>
      </w:r>
      <w:r w:rsidRPr="00B3321D">
        <w:rPr>
          <w:lang w:val="en-GB"/>
        </w:rPr>
        <w:t xml:space="preserve">from </w:t>
      </w:r>
      <w:r>
        <w:rPr>
          <w:lang w:val="en-GB"/>
        </w:rPr>
        <w:t>C</w:t>
      </w:r>
      <w:r w:rsidR="002D15A7">
        <w:rPr>
          <w:lang w:val="en-GB"/>
        </w:rPr>
        <w:t>4</w:t>
      </w:r>
      <w:r w:rsidRPr="00B3321D">
        <w:rPr>
          <w:lang w:val="en-GB"/>
        </w:rPr>
        <w:t xml:space="preserve">, and adjusted with the ADR </w:t>
      </w:r>
      <w:r w:rsidR="002D15A7">
        <w:rPr>
          <w:lang w:val="en-GB"/>
        </w:rPr>
        <w:t xml:space="preserve">conversion </w:t>
      </w:r>
      <w:r w:rsidRPr="00B3321D">
        <w:rPr>
          <w:lang w:val="en-GB"/>
        </w:rPr>
        <w:t xml:space="preserve">ratio from </w:t>
      </w:r>
      <w:r>
        <w:rPr>
          <w:lang w:val="en-GB"/>
        </w:rPr>
        <w:t>C</w:t>
      </w:r>
      <w:r w:rsidR="002D15A7">
        <w:rPr>
          <w:lang w:val="en-GB"/>
        </w:rPr>
        <w:t>7</w:t>
      </w:r>
      <w:r w:rsidRPr="00B3321D">
        <w:rPr>
          <w:lang w:val="en-GB"/>
        </w:rPr>
        <w:t>.</w:t>
      </w:r>
    </w:p>
    <w:p w14:paraId="5ED02263" w14:textId="5DC2A548" w:rsidR="00B3321D" w:rsidRPr="00DF47B8" w:rsidRDefault="00B3321D" w:rsidP="009F6A63">
      <w:pPr>
        <w:spacing w:before="0" w:after="160" w:line="259" w:lineRule="auto"/>
        <w:rPr>
          <w:i/>
          <w:iCs/>
          <w:lang w:val="en-GB"/>
        </w:rPr>
      </w:pPr>
      <w:r w:rsidRPr="00DF47B8">
        <w:rPr>
          <w:i/>
          <w:iCs/>
          <w:lang w:val="en-GB"/>
        </w:rPr>
        <w:lastRenderedPageBreak/>
        <w:t>D</w:t>
      </w:r>
      <w:r w:rsidR="002D15A7">
        <w:rPr>
          <w:i/>
          <w:iCs/>
          <w:lang w:val="en-GB"/>
        </w:rPr>
        <w:t>8</w:t>
      </w:r>
      <w:r w:rsidRPr="00DF47B8">
        <w:rPr>
          <w:i/>
          <w:iCs/>
          <w:lang w:val="en-GB"/>
        </w:rPr>
        <w:t xml:space="preserve"> = C3*C</w:t>
      </w:r>
      <w:r w:rsidR="002D15A7">
        <w:rPr>
          <w:i/>
          <w:iCs/>
          <w:lang w:val="en-GB"/>
        </w:rPr>
        <w:t>4</w:t>
      </w:r>
      <w:r w:rsidRPr="00DF47B8">
        <w:rPr>
          <w:i/>
          <w:iCs/>
          <w:lang w:val="en-GB"/>
        </w:rPr>
        <w:t>*C</w:t>
      </w:r>
      <w:r w:rsidR="002D15A7">
        <w:rPr>
          <w:i/>
          <w:iCs/>
          <w:lang w:val="en-GB"/>
        </w:rPr>
        <w:t>7</w:t>
      </w:r>
    </w:p>
    <w:p w14:paraId="06004600" w14:textId="58E6E862" w:rsidR="00B3321D" w:rsidRDefault="00B3321D" w:rsidP="009F6A63">
      <w:pPr>
        <w:spacing w:before="0" w:after="160" w:line="259" w:lineRule="auto"/>
        <w:rPr>
          <w:lang w:val="en-GB"/>
        </w:rPr>
      </w:pPr>
      <w:r w:rsidRPr="00B3321D">
        <w:rPr>
          <w:lang w:val="en-GB"/>
        </w:rPr>
        <w:t>(</w:t>
      </w:r>
      <w:r w:rsidR="00C21B33">
        <w:rPr>
          <w:lang w:val="en-GB"/>
        </w:rPr>
        <w:t>5</w:t>
      </w:r>
      <w:r w:rsidRPr="00B3321D">
        <w:rPr>
          <w:lang w:val="en-GB"/>
        </w:rPr>
        <w:t>) Effectively, in the closing file of 2021-05-27, BABA-</w:t>
      </w:r>
      <w:r w:rsidR="0021278D">
        <w:rPr>
          <w:lang w:val="en-GB"/>
        </w:rPr>
        <w:t>US</w:t>
      </w:r>
      <w:r w:rsidRPr="00B3321D">
        <w:rPr>
          <w:lang w:val="en-GB"/>
        </w:rPr>
        <w:t xml:space="preserve"> is priced at the common price from </w:t>
      </w:r>
      <w:r>
        <w:rPr>
          <w:lang w:val="en-GB"/>
        </w:rPr>
        <w:t>D</w:t>
      </w:r>
      <w:r w:rsidR="002D15A7">
        <w:rPr>
          <w:lang w:val="en-GB"/>
        </w:rPr>
        <w:t>8</w:t>
      </w:r>
      <w:r w:rsidRPr="00B3321D">
        <w:rPr>
          <w:lang w:val="en-GB"/>
        </w:rPr>
        <w:t xml:space="preserve">, with its </w:t>
      </w:r>
      <w:r w:rsidR="004B3152">
        <w:rPr>
          <w:lang w:val="en-GB"/>
        </w:rPr>
        <w:t>market value (</w:t>
      </w:r>
      <w:r w:rsidRPr="00B3321D">
        <w:rPr>
          <w:lang w:val="en-GB"/>
        </w:rPr>
        <w:t>MV</w:t>
      </w:r>
      <w:r w:rsidR="004B3152">
        <w:rPr>
          <w:lang w:val="en-GB"/>
        </w:rPr>
        <w:t>)</w:t>
      </w:r>
      <w:r w:rsidRPr="00B3321D">
        <w:rPr>
          <w:lang w:val="en-GB"/>
        </w:rPr>
        <w:t xml:space="preserve"> calculated in D</w:t>
      </w:r>
      <w:r w:rsidR="002D15A7">
        <w:rPr>
          <w:lang w:val="en-GB"/>
        </w:rPr>
        <w:t>9</w:t>
      </w:r>
      <w:r w:rsidRPr="00B3321D">
        <w:rPr>
          <w:lang w:val="en-GB"/>
        </w:rPr>
        <w:t>. Effective open 2021-05-28, BABA-</w:t>
      </w:r>
      <w:r w:rsidR="0021278D">
        <w:rPr>
          <w:lang w:val="en-GB"/>
        </w:rPr>
        <w:t>US</w:t>
      </w:r>
      <w:r w:rsidRPr="00B3321D">
        <w:rPr>
          <w:lang w:val="en-GB"/>
        </w:rPr>
        <w:t xml:space="preserve"> is also removed from the index at this common price.</w:t>
      </w:r>
    </w:p>
    <w:p w14:paraId="5BEE61F5" w14:textId="52562716" w:rsidR="00B3321D" w:rsidRPr="00DF47B8" w:rsidRDefault="00B3321D" w:rsidP="00DF47B8">
      <w:pPr>
        <w:spacing w:before="0" w:after="160" w:line="259" w:lineRule="auto"/>
        <w:rPr>
          <w:i/>
          <w:iCs/>
          <w:lang w:val="en-GB"/>
        </w:rPr>
      </w:pPr>
      <w:r w:rsidRPr="00DF47B8">
        <w:rPr>
          <w:i/>
          <w:iCs/>
          <w:lang w:val="en-GB"/>
        </w:rPr>
        <w:t>D</w:t>
      </w:r>
      <w:r w:rsidR="002D15A7">
        <w:rPr>
          <w:i/>
          <w:iCs/>
          <w:lang w:val="en-GB"/>
        </w:rPr>
        <w:t>9</w:t>
      </w:r>
      <w:r w:rsidRPr="00DF47B8">
        <w:rPr>
          <w:i/>
          <w:iCs/>
          <w:lang w:val="en-GB"/>
        </w:rPr>
        <w:t xml:space="preserve"> = D</w:t>
      </w:r>
      <w:r w:rsidR="002D15A7">
        <w:rPr>
          <w:i/>
          <w:iCs/>
          <w:lang w:val="en-GB"/>
        </w:rPr>
        <w:t>5</w:t>
      </w:r>
      <w:r w:rsidRPr="00DF47B8">
        <w:rPr>
          <w:i/>
          <w:iCs/>
          <w:lang w:val="en-GB"/>
        </w:rPr>
        <w:t>*D8</w:t>
      </w:r>
    </w:p>
    <w:p w14:paraId="36CCFAD8" w14:textId="446AD64E" w:rsidR="008C20D3" w:rsidRDefault="00B5501C" w:rsidP="00753C1C">
      <w:pPr>
        <w:spacing w:after="0"/>
        <w:rPr>
          <w:lang w:val="en-US"/>
        </w:rPr>
      </w:pPr>
      <w:r w:rsidRPr="00B5501C">
        <w:rPr>
          <w:lang w:val="en-US"/>
        </w:rPr>
        <w:t>(</w:t>
      </w:r>
      <w:r w:rsidR="00C21B33">
        <w:rPr>
          <w:lang w:val="en-US"/>
        </w:rPr>
        <w:t>6</w:t>
      </w:r>
      <w:r w:rsidRPr="00B5501C">
        <w:rPr>
          <w:lang w:val="en-US"/>
        </w:rPr>
        <w:t xml:space="preserve">) In the opening file of 2021-05-28, </w:t>
      </w:r>
      <w:r w:rsidR="002D15A7">
        <w:rPr>
          <w:lang w:val="en-US"/>
        </w:rPr>
        <w:t>the</w:t>
      </w:r>
      <w:r w:rsidRPr="00B5501C">
        <w:rPr>
          <w:lang w:val="en-US"/>
        </w:rPr>
        <w:t xml:space="preserve"> target shares </w:t>
      </w:r>
      <w:r w:rsidR="002D15A7">
        <w:rPr>
          <w:lang w:val="en-US"/>
        </w:rPr>
        <w:t xml:space="preserve">of 9988-HK </w:t>
      </w:r>
      <w:r w:rsidRPr="00B5501C">
        <w:rPr>
          <w:lang w:val="en-US"/>
        </w:rPr>
        <w:t>are added at its official clos</w:t>
      </w:r>
      <w:r w:rsidR="00C21B33">
        <w:rPr>
          <w:lang w:val="en-US"/>
        </w:rPr>
        <w:t>ing</w:t>
      </w:r>
      <w:r w:rsidRPr="00B5501C">
        <w:rPr>
          <w:lang w:val="en-US"/>
        </w:rPr>
        <w:t xml:space="preserve"> price of 2021-05-27, which is also equivalent to the common conversion price. </w:t>
      </w:r>
      <w:r w:rsidR="00777B8B">
        <w:rPr>
          <w:lang w:val="en-US"/>
        </w:rPr>
        <w:t>Its</w:t>
      </w:r>
      <w:r w:rsidRPr="00B5501C">
        <w:rPr>
          <w:lang w:val="en-US"/>
        </w:rPr>
        <w:t xml:space="preserve"> MV </w:t>
      </w:r>
      <w:r w:rsidR="00777B8B">
        <w:rPr>
          <w:lang w:val="en-US"/>
        </w:rPr>
        <w:t xml:space="preserve">in the opening file of 2021-05-28 </w:t>
      </w:r>
      <w:r w:rsidRPr="00B5501C">
        <w:rPr>
          <w:lang w:val="en-US"/>
        </w:rPr>
        <w:t xml:space="preserve">is </w:t>
      </w:r>
      <w:r w:rsidR="00777B8B">
        <w:rPr>
          <w:lang w:val="en-US"/>
        </w:rPr>
        <w:t>calculated</w:t>
      </w:r>
      <w:r w:rsidRPr="00B5501C">
        <w:rPr>
          <w:lang w:val="en-US"/>
        </w:rPr>
        <w:t xml:space="preserve"> in </w:t>
      </w:r>
      <w:r w:rsidR="00943692">
        <w:rPr>
          <w:lang w:val="en-US"/>
        </w:rPr>
        <w:t>C1</w:t>
      </w:r>
      <w:r w:rsidR="00777B8B">
        <w:rPr>
          <w:lang w:val="en-US"/>
        </w:rPr>
        <w:t>0</w:t>
      </w:r>
      <w:r w:rsidRPr="00B5501C">
        <w:rPr>
          <w:lang w:val="en-US"/>
        </w:rPr>
        <w:t>.</w:t>
      </w:r>
    </w:p>
    <w:p w14:paraId="55047E7E" w14:textId="68977950" w:rsidR="00943692" w:rsidRDefault="00943692" w:rsidP="00753C1C">
      <w:pPr>
        <w:spacing w:after="0"/>
        <w:rPr>
          <w:i/>
          <w:iCs/>
          <w:lang w:val="en-US"/>
        </w:rPr>
      </w:pPr>
      <w:r>
        <w:rPr>
          <w:i/>
          <w:iCs/>
          <w:lang w:val="en-US"/>
        </w:rPr>
        <w:t>C1</w:t>
      </w:r>
      <w:r w:rsidR="004933BD">
        <w:rPr>
          <w:i/>
          <w:iCs/>
          <w:lang w:val="en-US"/>
        </w:rPr>
        <w:t>0</w:t>
      </w:r>
      <w:r>
        <w:rPr>
          <w:i/>
          <w:iCs/>
          <w:lang w:val="en-US"/>
        </w:rPr>
        <w:t xml:space="preserve"> = C3*C</w:t>
      </w:r>
      <w:r w:rsidR="004933BD">
        <w:rPr>
          <w:i/>
          <w:iCs/>
          <w:lang w:val="en-US"/>
        </w:rPr>
        <w:t>6</w:t>
      </w:r>
    </w:p>
    <w:p w14:paraId="3AB13D3E" w14:textId="77777777" w:rsidR="00AE7FE1" w:rsidRDefault="00AE7FE1" w:rsidP="00753C1C">
      <w:pPr>
        <w:spacing w:after="0"/>
        <w:rPr>
          <w:b/>
          <w:bCs/>
          <w:lang w:val="en-US"/>
        </w:rPr>
      </w:pPr>
    </w:p>
    <w:p w14:paraId="34AA3795" w14:textId="01231A36" w:rsidR="00AE7FE1" w:rsidRDefault="0064299B" w:rsidP="00753C1C">
      <w:pPr>
        <w:spacing w:after="0"/>
        <w:rPr>
          <w:b/>
          <w:bCs/>
          <w:lang w:val="en-US"/>
        </w:rPr>
      </w:pPr>
      <w:r>
        <w:rPr>
          <w:b/>
          <w:bCs/>
          <w:lang w:val="en-US"/>
        </w:rPr>
        <w:t xml:space="preserve">Note: </w:t>
      </w:r>
    </w:p>
    <w:p w14:paraId="5DCD8F3A" w14:textId="5F5A58D4" w:rsidR="0064299B" w:rsidRDefault="00AE7FE1" w:rsidP="00753C1C">
      <w:pPr>
        <w:spacing w:after="0"/>
        <w:rPr>
          <w:lang w:val="en-US"/>
        </w:rPr>
      </w:pPr>
      <w:r>
        <w:rPr>
          <w:lang w:val="en-US"/>
        </w:rPr>
        <w:t>In the example above, t</w:t>
      </w:r>
      <w:r w:rsidR="0064299B">
        <w:rPr>
          <w:lang w:val="en-US"/>
        </w:rPr>
        <w:t xml:space="preserve">he target shares of 9988-HK provided in cell C6 are determined as a result of the selection process, and </w:t>
      </w:r>
      <w:r>
        <w:rPr>
          <w:lang w:val="en-US"/>
        </w:rPr>
        <w:t>are not</w:t>
      </w:r>
      <w:r w:rsidR="0064299B">
        <w:rPr>
          <w:lang w:val="en-US"/>
        </w:rPr>
        <w:t xml:space="preserve"> necessarily equal</w:t>
      </w:r>
      <w:r>
        <w:rPr>
          <w:lang w:val="en-US"/>
        </w:rPr>
        <w:t xml:space="preserve"> to the number of shares co</w:t>
      </w:r>
      <w:r w:rsidR="00821A08">
        <w:rPr>
          <w:lang w:val="en-US"/>
        </w:rPr>
        <w:t>n</w:t>
      </w:r>
      <w:r>
        <w:rPr>
          <w:lang w:val="en-US"/>
        </w:rPr>
        <w:t>verted from BABA-US</w:t>
      </w:r>
      <w:r w:rsidR="004B3152">
        <w:rPr>
          <w:lang w:val="en-US"/>
        </w:rPr>
        <w:t xml:space="preserve"> using the ADR ratio</w:t>
      </w:r>
      <w:r>
        <w:rPr>
          <w:lang w:val="en-US"/>
        </w:rPr>
        <w:t xml:space="preserve">, i.e. </w:t>
      </w:r>
      <w:r w:rsidRPr="004B3152">
        <w:rPr>
          <w:i/>
          <w:iCs/>
          <w:lang w:val="en-US"/>
        </w:rPr>
        <w:t>C6 ≠ D5*C7</w:t>
      </w:r>
      <w:r>
        <w:rPr>
          <w:lang w:val="en-US"/>
        </w:rPr>
        <w:t>.</w:t>
      </w:r>
    </w:p>
    <w:p w14:paraId="04079937" w14:textId="71F79FDF" w:rsidR="00AE7FE1" w:rsidRPr="00AE7FE1" w:rsidRDefault="00AE7FE1" w:rsidP="00753C1C">
      <w:pPr>
        <w:spacing w:after="0"/>
        <w:rPr>
          <w:rFonts w:ascii="Symbol" w:hAnsi="Symbol"/>
          <w:lang w:val="en-US"/>
        </w:rPr>
      </w:pPr>
      <w:r>
        <w:rPr>
          <w:lang w:val="en-US"/>
        </w:rPr>
        <w:t xml:space="preserve">If the rebalance only converted BABA-US to 9988-HK without additional buying or selling of 9988-HK </w:t>
      </w:r>
      <w:r w:rsidR="00C21B33">
        <w:rPr>
          <w:lang w:val="en-US"/>
        </w:rPr>
        <w:t>to reach the target shares quantity</w:t>
      </w:r>
      <w:r>
        <w:rPr>
          <w:lang w:val="en-US"/>
        </w:rPr>
        <w:t xml:space="preserve">, i.e.  C6 = D5*C7, the conversion methodology above would be market neutral. This means that the opening </w:t>
      </w:r>
      <w:r w:rsidR="004B3152">
        <w:rPr>
          <w:lang w:val="en-US"/>
        </w:rPr>
        <w:t>MV</w:t>
      </w:r>
      <w:r>
        <w:rPr>
          <w:lang w:val="en-US"/>
        </w:rPr>
        <w:t xml:space="preserve"> of 9988-HK in the opening file</w:t>
      </w:r>
      <w:r w:rsidR="00435F79">
        <w:rPr>
          <w:lang w:val="en-US"/>
        </w:rPr>
        <w:t xml:space="preserve"> (cell C10)</w:t>
      </w:r>
      <w:r>
        <w:rPr>
          <w:lang w:val="en-US"/>
        </w:rPr>
        <w:t>, when adjusted for FX, would equ</w:t>
      </w:r>
      <w:r w:rsidR="00435F79">
        <w:rPr>
          <w:lang w:val="en-US"/>
        </w:rPr>
        <w:t xml:space="preserve">al the closing </w:t>
      </w:r>
      <w:r w:rsidR="004B3152">
        <w:rPr>
          <w:lang w:val="en-US"/>
        </w:rPr>
        <w:t>MV</w:t>
      </w:r>
      <w:r w:rsidR="00435F79">
        <w:rPr>
          <w:lang w:val="en-US"/>
        </w:rPr>
        <w:t xml:space="preserve"> of BABA-US in the closing file</w:t>
      </w:r>
      <w:r w:rsidR="00C21B33">
        <w:rPr>
          <w:lang w:val="en-US"/>
        </w:rPr>
        <w:t>, i.e. C10*C4 = D9.</w:t>
      </w:r>
    </w:p>
    <w:p w14:paraId="4CF3A8EC" w14:textId="77777777" w:rsidR="008C20D3" w:rsidRDefault="008C20D3">
      <w:pPr>
        <w:spacing w:before="0" w:after="160" w:line="259" w:lineRule="auto"/>
        <w:jc w:val="left"/>
        <w:rPr>
          <w:lang w:val="en-US"/>
        </w:rPr>
      </w:pPr>
      <w:r>
        <w:rPr>
          <w:lang w:val="en-US"/>
        </w:rPr>
        <w:br w:type="page"/>
      </w:r>
    </w:p>
    <w:p w14:paraId="501B9E66" w14:textId="77777777" w:rsidR="00753C1C" w:rsidRDefault="00753C1C" w:rsidP="00753C1C">
      <w:pPr>
        <w:spacing w:after="0"/>
        <w:rPr>
          <w:lang w:val="en-US"/>
        </w:rPr>
      </w:pP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1"/>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F47B8" w:rsidRDefault="00466905" w:rsidP="00EE22E3">
                            <w:pPr>
                              <w:tabs>
                                <w:tab w:val="left" w:pos="993"/>
                              </w:tabs>
                              <w:contextualSpacing/>
                              <w:rPr>
                                <w:color w:val="FFFFFF" w:themeColor="background1"/>
                                <w:lang w:val="fr-FR" w:eastAsia="en-US"/>
                              </w:rPr>
                            </w:pPr>
                            <w:proofErr w:type="spellStart"/>
                            <w:r w:rsidRPr="00DF47B8">
                              <w:rPr>
                                <w:color w:val="FFFFFF" w:themeColor="background1"/>
                                <w:lang w:val="fr-FR" w:eastAsia="en-US"/>
                              </w:rPr>
                              <w:t>Website</w:t>
                            </w:r>
                            <w:proofErr w:type="spellEnd"/>
                            <w:r w:rsidRPr="00DF47B8">
                              <w:rPr>
                                <w:color w:val="FFFFFF" w:themeColor="background1"/>
                                <w:lang w:val="fr-FR" w:eastAsia="en-US"/>
                              </w:rPr>
                              <w:t>:</w:t>
                            </w:r>
                            <w:r w:rsidRPr="00DF47B8">
                              <w:rPr>
                                <w:color w:val="FFFFFF" w:themeColor="background1"/>
                                <w:lang w:val="fr-FR" w:eastAsia="en-US"/>
                              </w:rPr>
                              <w:tab/>
                            </w:r>
                            <w:hyperlink r:id="rId13" w:history="1">
                              <w:r w:rsidRPr="00DF47B8">
                                <w:rPr>
                                  <w:rStyle w:val="Hyperlink"/>
                                  <w:color w:val="FFFFFF" w:themeColor="background1"/>
                                  <w:lang w:val="fr-FR" w:eastAsia="en-US"/>
                                </w:rPr>
                                <w:t>www.solactive.com</w:t>
                              </w:r>
                            </w:hyperlink>
                            <w:r w:rsidRPr="00DF47B8">
                              <w:rPr>
                                <w:color w:val="FFFFFF" w:themeColor="background1"/>
                                <w:lang w:val="fr-FR" w:eastAsia="en-US"/>
                              </w:rPr>
                              <w:t xml:space="preserve"> </w:t>
                            </w:r>
                          </w:p>
                          <w:p w14:paraId="7C95E775" w14:textId="77777777" w:rsidR="00466905" w:rsidRPr="00DF47B8" w:rsidRDefault="00466905" w:rsidP="00EE22E3">
                            <w:pPr>
                              <w:tabs>
                                <w:tab w:val="left" w:pos="993"/>
                              </w:tabs>
                              <w:contextualSpacing/>
                              <w:rPr>
                                <w:color w:val="FFFFFF" w:themeColor="background1"/>
                                <w:lang w:val="fr-FR"/>
                              </w:rPr>
                            </w:pPr>
                          </w:p>
                          <w:p w14:paraId="1DDD5EBB" w14:textId="77777777" w:rsidR="00466905" w:rsidRPr="00DF47B8" w:rsidRDefault="00466905" w:rsidP="00EE22E3">
                            <w:pPr>
                              <w:tabs>
                                <w:tab w:val="left" w:pos="993"/>
                              </w:tabs>
                              <w:contextualSpacing/>
                              <w:rPr>
                                <w:color w:val="FFFFFF" w:themeColor="background1"/>
                                <w:lang w:val="fr-FR"/>
                              </w:rPr>
                            </w:pPr>
                            <w:r w:rsidRPr="00DF47B8">
                              <w:rPr>
                                <w:color w:val="FFFFFF" w:themeColor="background1"/>
                                <w:lang w:val="fr-FR"/>
                              </w:rPr>
                              <w:t>© Solactive AG</w:t>
                            </w:r>
                          </w:p>
                          <w:p w14:paraId="5087DCB6" w14:textId="77777777" w:rsidR="00466905" w:rsidRPr="00DF47B8"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F47B8" w:rsidRDefault="00466905" w:rsidP="00EE22E3">
                      <w:pPr>
                        <w:tabs>
                          <w:tab w:val="left" w:pos="993"/>
                        </w:tabs>
                        <w:contextualSpacing/>
                        <w:rPr>
                          <w:color w:val="FFFFFF" w:themeColor="background1"/>
                          <w:lang w:val="fr-FR" w:eastAsia="en-US"/>
                        </w:rPr>
                      </w:pPr>
                      <w:proofErr w:type="spellStart"/>
                      <w:r w:rsidRPr="00DF47B8">
                        <w:rPr>
                          <w:color w:val="FFFFFF" w:themeColor="background1"/>
                          <w:lang w:val="fr-FR" w:eastAsia="en-US"/>
                        </w:rPr>
                        <w:t>Website</w:t>
                      </w:r>
                      <w:proofErr w:type="spellEnd"/>
                      <w:r w:rsidRPr="00DF47B8">
                        <w:rPr>
                          <w:color w:val="FFFFFF" w:themeColor="background1"/>
                          <w:lang w:val="fr-FR" w:eastAsia="en-US"/>
                        </w:rPr>
                        <w:t>:</w:t>
                      </w:r>
                      <w:r w:rsidRPr="00DF47B8">
                        <w:rPr>
                          <w:color w:val="FFFFFF" w:themeColor="background1"/>
                          <w:lang w:val="fr-FR" w:eastAsia="en-US"/>
                        </w:rPr>
                        <w:tab/>
                      </w:r>
                      <w:hyperlink r:id="rId15" w:history="1">
                        <w:r w:rsidRPr="00DF47B8">
                          <w:rPr>
                            <w:rStyle w:val="Hyperlink"/>
                            <w:color w:val="FFFFFF" w:themeColor="background1"/>
                            <w:lang w:val="fr-FR" w:eastAsia="en-US"/>
                          </w:rPr>
                          <w:t>www.solactive.com</w:t>
                        </w:r>
                      </w:hyperlink>
                      <w:r w:rsidRPr="00DF47B8">
                        <w:rPr>
                          <w:color w:val="FFFFFF" w:themeColor="background1"/>
                          <w:lang w:val="fr-FR" w:eastAsia="en-US"/>
                        </w:rPr>
                        <w:t xml:space="preserve"> </w:t>
                      </w:r>
                    </w:p>
                    <w:p w14:paraId="7C95E775" w14:textId="77777777" w:rsidR="00466905" w:rsidRPr="00DF47B8" w:rsidRDefault="00466905" w:rsidP="00EE22E3">
                      <w:pPr>
                        <w:tabs>
                          <w:tab w:val="left" w:pos="993"/>
                        </w:tabs>
                        <w:contextualSpacing/>
                        <w:rPr>
                          <w:color w:val="FFFFFF" w:themeColor="background1"/>
                          <w:lang w:val="fr-FR"/>
                        </w:rPr>
                      </w:pPr>
                    </w:p>
                    <w:p w14:paraId="1DDD5EBB" w14:textId="77777777" w:rsidR="00466905" w:rsidRPr="00DF47B8" w:rsidRDefault="00466905" w:rsidP="00EE22E3">
                      <w:pPr>
                        <w:tabs>
                          <w:tab w:val="left" w:pos="993"/>
                        </w:tabs>
                        <w:contextualSpacing/>
                        <w:rPr>
                          <w:color w:val="FFFFFF" w:themeColor="background1"/>
                          <w:lang w:val="fr-FR"/>
                        </w:rPr>
                      </w:pPr>
                      <w:r w:rsidRPr="00DF47B8">
                        <w:rPr>
                          <w:color w:val="FFFFFF" w:themeColor="background1"/>
                          <w:lang w:val="fr-FR"/>
                        </w:rPr>
                        <w:t>© Solactive AG</w:t>
                      </w:r>
                    </w:p>
                    <w:p w14:paraId="5087DCB6" w14:textId="77777777" w:rsidR="00466905" w:rsidRPr="00DF47B8" w:rsidRDefault="00466905" w:rsidP="00EE22E3">
                      <w:pPr>
                        <w:rPr>
                          <w:color w:val="FFFFFF" w:themeColor="background1"/>
                          <w:lang w:val="fr-FR"/>
                        </w:rPr>
                      </w:pPr>
                    </w:p>
                  </w:txbxContent>
                </v:textbox>
                <w10:wrap anchorx="margin" anchory="page"/>
              </v:shape>
            </w:pict>
          </mc:Fallback>
        </mc:AlternateContent>
      </w:r>
      <w:bookmarkEnd w:id="0"/>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AC146A0-8659-4233-B162-52F90CDE2543}"/>
    <w:embedBold r:id="rId2" w:fontKey="{DA208EF3-BC60-420C-9CF3-60CA737FB4A0}"/>
    <w:embedItalic r:id="rId3" w:fontKey="{BFDD7D9D-D290-4677-83CB-ED0073273C8D}"/>
  </w:font>
  <w:font w:name="Flama Semicondensed Light">
    <w:altName w:val="Calibri"/>
    <w:panose1 w:val="02000000000000000000"/>
    <w:charset w:val="00"/>
    <w:family w:val="auto"/>
    <w:pitch w:val="variable"/>
    <w:sig w:usb0="A00000AF" w:usb1="4000207B" w:usb2="00000000" w:usb3="00000000" w:csb0="0000008B" w:csb1="00000000"/>
    <w:embedRegular r:id="rId4" w:fontKey="{729CE9EF-4699-4EB3-9F86-30BC6253A2E2}"/>
    <w:embedBold r:id="rId5" w:fontKey="{ECA586B4-1C57-46B5-8174-1AEF5972FA0C}"/>
    <w:embedItalic r:id="rId6" w:fontKey="{32EA260F-C1EC-4353-930D-22CDA44F9C67}"/>
    <w:embedBoldItalic r:id="rId7" w:fontKey="{D5655E26-FC0D-4FE7-8B14-2E9EA302BCE5}"/>
  </w:font>
  <w:font w:name="Segoe UI">
    <w:panose1 w:val="020B0502040204020203"/>
    <w:charset w:val="00"/>
    <w:family w:val="swiss"/>
    <w:pitch w:val="variable"/>
    <w:sig w:usb0="E4002EFF" w:usb1="C000E47F" w:usb2="00000009" w:usb3="00000000" w:csb0="000001FF" w:csb1="00000000"/>
    <w:embedRegular r:id="rId8" w:fontKey="{50FE9276-6079-4897-8AA1-D4740F26A8A6}"/>
  </w:font>
  <w:font w:name="Flama Semicondensed Medium">
    <w:altName w:val="Calibri"/>
    <w:panose1 w:val="02000000000000000000"/>
    <w:charset w:val="00"/>
    <w:family w:val="auto"/>
    <w:pitch w:val="variable"/>
    <w:sig w:usb0="A00000AF" w:usb1="4000207B" w:usb2="00000000" w:usb3="00000000" w:csb0="0000008B" w:csb1="00000000"/>
    <w:embedRegular r:id="rId9" w:fontKey="{3876F5E5-9468-4671-BC52-6074D6A3E99D}"/>
    <w:embedBold r:id="rId10" w:fontKey="{A56A1307-BCCA-4FA2-9F2E-2CE64114611D}"/>
  </w:font>
  <w:font w:name="Calibri Light">
    <w:panose1 w:val="020F0302020204030204"/>
    <w:charset w:val="00"/>
    <w:family w:val="swiss"/>
    <w:pitch w:val="variable"/>
    <w:sig w:usb0="E4002EFF" w:usb1="C200247B" w:usb2="00000009" w:usb3="00000000" w:csb0="000001FF" w:csb1="00000000"/>
    <w:embedRegular r:id="rId11" w:fontKey="{BC57C901-F1E0-4467-88F6-790330E455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28F7E5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D673E">
          <w:rPr>
            <w:lang w:val="en-US"/>
          </w:rPr>
          <w:t>Market Consultation – CONVERSION OF ADR TO ORDINARY SHARES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A2F2E"/>
    <w:multiLevelType w:val="hybridMultilevel"/>
    <w:tmpl w:val="25C8ED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BE1B7C"/>
    <w:multiLevelType w:val="hybridMultilevel"/>
    <w:tmpl w:val="FFFADBB2"/>
    <w:lvl w:ilvl="0" w:tplc="47388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B7C1E"/>
    <w:multiLevelType w:val="hybridMultilevel"/>
    <w:tmpl w:val="14488440"/>
    <w:lvl w:ilvl="0" w:tplc="F566E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E34D96"/>
    <w:multiLevelType w:val="hybridMultilevel"/>
    <w:tmpl w:val="4F968BA8"/>
    <w:lvl w:ilvl="0" w:tplc="F3A6AC1C">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2013094">
    <w:abstractNumId w:val="6"/>
  </w:num>
  <w:num w:numId="2" w16cid:durableId="446895273">
    <w:abstractNumId w:val="7"/>
  </w:num>
  <w:num w:numId="3" w16cid:durableId="1613365578">
    <w:abstractNumId w:val="18"/>
  </w:num>
  <w:num w:numId="4" w16cid:durableId="1119573190">
    <w:abstractNumId w:val="23"/>
  </w:num>
  <w:num w:numId="5" w16cid:durableId="1153831533">
    <w:abstractNumId w:val="16"/>
  </w:num>
  <w:num w:numId="6" w16cid:durableId="1517420864">
    <w:abstractNumId w:val="8"/>
  </w:num>
  <w:num w:numId="7" w16cid:durableId="1940596519">
    <w:abstractNumId w:val="22"/>
  </w:num>
  <w:num w:numId="8" w16cid:durableId="321589121">
    <w:abstractNumId w:val="3"/>
  </w:num>
  <w:num w:numId="9" w16cid:durableId="817115632">
    <w:abstractNumId w:val="14"/>
  </w:num>
  <w:num w:numId="10" w16cid:durableId="1941716870">
    <w:abstractNumId w:val="13"/>
  </w:num>
  <w:num w:numId="11" w16cid:durableId="1506431304">
    <w:abstractNumId w:val="2"/>
  </w:num>
  <w:num w:numId="12" w16cid:durableId="1296449413">
    <w:abstractNumId w:val="1"/>
  </w:num>
  <w:num w:numId="13" w16cid:durableId="425149215">
    <w:abstractNumId w:val="15"/>
  </w:num>
  <w:num w:numId="14" w16cid:durableId="49118480">
    <w:abstractNumId w:val="11"/>
  </w:num>
  <w:num w:numId="15" w16cid:durableId="1349137391">
    <w:abstractNumId w:val="4"/>
  </w:num>
  <w:num w:numId="16" w16cid:durableId="1141583591">
    <w:abstractNumId w:val="12"/>
  </w:num>
  <w:num w:numId="17" w16cid:durableId="850946948">
    <w:abstractNumId w:val="24"/>
  </w:num>
  <w:num w:numId="18" w16cid:durableId="910388190">
    <w:abstractNumId w:val="9"/>
  </w:num>
  <w:num w:numId="19" w16cid:durableId="1389112519">
    <w:abstractNumId w:val="19"/>
  </w:num>
  <w:num w:numId="20" w16cid:durableId="766653455">
    <w:abstractNumId w:val="21"/>
  </w:num>
  <w:num w:numId="21" w16cid:durableId="648100724">
    <w:abstractNumId w:val="0"/>
  </w:num>
  <w:num w:numId="22" w16cid:durableId="723220296">
    <w:abstractNumId w:val="5"/>
  </w:num>
  <w:num w:numId="23" w16cid:durableId="827206061">
    <w:abstractNumId w:val="20"/>
  </w:num>
  <w:num w:numId="24" w16cid:durableId="1221096415">
    <w:abstractNumId w:val="17"/>
  </w:num>
  <w:num w:numId="25" w16cid:durableId="16015727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proofState w:spelling="clean"/>
  <w:revisionView w:markup="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2A0C"/>
    <w:rsid w:val="00045723"/>
    <w:rsid w:val="000502B1"/>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3C9A"/>
    <w:rsid w:val="000A7946"/>
    <w:rsid w:val="000B461C"/>
    <w:rsid w:val="000C0EBA"/>
    <w:rsid w:val="000C5F8E"/>
    <w:rsid w:val="000D0FF1"/>
    <w:rsid w:val="000E3D03"/>
    <w:rsid w:val="000F3DF3"/>
    <w:rsid w:val="0010358C"/>
    <w:rsid w:val="00110CA0"/>
    <w:rsid w:val="00113086"/>
    <w:rsid w:val="00123CB9"/>
    <w:rsid w:val="00124B71"/>
    <w:rsid w:val="0013005F"/>
    <w:rsid w:val="00133435"/>
    <w:rsid w:val="00133DA4"/>
    <w:rsid w:val="00135E34"/>
    <w:rsid w:val="00151DD8"/>
    <w:rsid w:val="00185395"/>
    <w:rsid w:val="001913FD"/>
    <w:rsid w:val="00192032"/>
    <w:rsid w:val="0019287D"/>
    <w:rsid w:val="00196409"/>
    <w:rsid w:val="00196791"/>
    <w:rsid w:val="001B13EC"/>
    <w:rsid w:val="001C7018"/>
    <w:rsid w:val="001D0ECC"/>
    <w:rsid w:val="001D6895"/>
    <w:rsid w:val="001E7A70"/>
    <w:rsid w:val="001F1AAE"/>
    <w:rsid w:val="001F7F10"/>
    <w:rsid w:val="0021278D"/>
    <w:rsid w:val="002127D7"/>
    <w:rsid w:val="00216B32"/>
    <w:rsid w:val="00226816"/>
    <w:rsid w:val="00233B75"/>
    <w:rsid w:val="002370C6"/>
    <w:rsid w:val="00252BDE"/>
    <w:rsid w:val="00252DAF"/>
    <w:rsid w:val="0026131F"/>
    <w:rsid w:val="0026500B"/>
    <w:rsid w:val="00265B34"/>
    <w:rsid w:val="002663E0"/>
    <w:rsid w:val="00277D7B"/>
    <w:rsid w:val="0028575D"/>
    <w:rsid w:val="0028584F"/>
    <w:rsid w:val="00291586"/>
    <w:rsid w:val="0029232A"/>
    <w:rsid w:val="002A32BB"/>
    <w:rsid w:val="002C0C0A"/>
    <w:rsid w:val="002C3DF7"/>
    <w:rsid w:val="002C65A0"/>
    <w:rsid w:val="002D15A7"/>
    <w:rsid w:val="002D5D39"/>
    <w:rsid w:val="002E370B"/>
    <w:rsid w:val="002E70FC"/>
    <w:rsid w:val="003012BC"/>
    <w:rsid w:val="00316A3E"/>
    <w:rsid w:val="003328E0"/>
    <w:rsid w:val="00334438"/>
    <w:rsid w:val="00334902"/>
    <w:rsid w:val="003405E8"/>
    <w:rsid w:val="00344407"/>
    <w:rsid w:val="0034475A"/>
    <w:rsid w:val="0035397E"/>
    <w:rsid w:val="00366769"/>
    <w:rsid w:val="0037436A"/>
    <w:rsid w:val="00381C00"/>
    <w:rsid w:val="00383C13"/>
    <w:rsid w:val="003841D2"/>
    <w:rsid w:val="00393783"/>
    <w:rsid w:val="00395582"/>
    <w:rsid w:val="003A2F2A"/>
    <w:rsid w:val="003B50BB"/>
    <w:rsid w:val="003C16C2"/>
    <w:rsid w:val="003C5B49"/>
    <w:rsid w:val="003D0D25"/>
    <w:rsid w:val="003D0F21"/>
    <w:rsid w:val="003D6D7D"/>
    <w:rsid w:val="003E3204"/>
    <w:rsid w:val="003F570C"/>
    <w:rsid w:val="0040784E"/>
    <w:rsid w:val="00420C1C"/>
    <w:rsid w:val="00435F79"/>
    <w:rsid w:val="0043684B"/>
    <w:rsid w:val="00447C88"/>
    <w:rsid w:val="00447DC5"/>
    <w:rsid w:val="004538B8"/>
    <w:rsid w:val="00456B65"/>
    <w:rsid w:val="00461F41"/>
    <w:rsid w:val="00466905"/>
    <w:rsid w:val="00471895"/>
    <w:rsid w:val="00475079"/>
    <w:rsid w:val="004819FA"/>
    <w:rsid w:val="00490CA4"/>
    <w:rsid w:val="004933BD"/>
    <w:rsid w:val="004A428F"/>
    <w:rsid w:val="004B3152"/>
    <w:rsid w:val="004B4769"/>
    <w:rsid w:val="004B6674"/>
    <w:rsid w:val="004B6903"/>
    <w:rsid w:val="004C2B70"/>
    <w:rsid w:val="004C688A"/>
    <w:rsid w:val="004D16D5"/>
    <w:rsid w:val="004D6535"/>
    <w:rsid w:val="00500D79"/>
    <w:rsid w:val="005055F5"/>
    <w:rsid w:val="00507DB2"/>
    <w:rsid w:val="00527711"/>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0256C"/>
    <w:rsid w:val="00610104"/>
    <w:rsid w:val="00621EE1"/>
    <w:rsid w:val="00626C9C"/>
    <w:rsid w:val="0063017D"/>
    <w:rsid w:val="00631951"/>
    <w:rsid w:val="00632135"/>
    <w:rsid w:val="0063528B"/>
    <w:rsid w:val="0063592D"/>
    <w:rsid w:val="0064299B"/>
    <w:rsid w:val="00650433"/>
    <w:rsid w:val="00651886"/>
    <w:rsid w:val="00651D91"/>
    <w:rsid w:val="00656E53"/>
    <w:rsid w:val="0065775A"/>
    <w:rsid w:val="00687C17"/>
    <w:rsid w:val="00687F0D"/>
    <w:rsid w:val="0069329B"/>
    <w:rsid w:val="00694010"/>
    <w:rsid w:val="006954CA"/>
    <w:rsid w:val="006A0793"/>
    <w:rsid w:val="006C091C"/>
    <w:rsid w:val="006C2A33"/>
    <w:rsid w:val="006C3E4C"/>
    <w:rsid w:val="006C5EE2"/>
    <w:rsid w:val="006D163F"/>
    <w:rsid w:val="006E0DEB"/>
    <w:rsid w:val="006E4581"/>
    <w:rsid w:val="006F11E8"/>
    <w:rsid w:val="006F1D5D"/>
    <w:rsid w:val="006F54CB"/>
    <w:rsid w:val="00701BE8"/>
    <w:rsid w:val="00703780"/>
    <w:rsid w:val="007063F4"/>
    <w:rsid w:val="0071478C"/>
    <w:rsid w:val="0073537F"/>
    <w:rsid w:val="007357DE"/>
    <w:rsid w:val="00736C70"/>
    <w:rsid w:val="007372FA"/>
    <w:rsid w:val="00746268"/>
    <w:rsid w:val="00750A5D"/>
    <w:rsid w:val="00753112"/>
    <w:rsid w:val="00753C1C"/>
    <w:rsid w:val="00770E36"/>
    <w:rsid w:val="00777B8B"/>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177BE"/>
    <w:rsid w:val="008208DE"/>
    <w:rsid w:val="00821A08"/>
    <w:rsid w:val="00823F62"/>
    <w:rsid w:val="00830616"/>
    <w:rsid w:val="008345B7"/>
    <w:rsid w:val="00850957"/>
    <w:rsid w:val="00851638"/>
    <w:rsid w:val="00852511"/>
    <w:rsid w:val="00874E3E"/>
    <w:rsid w:val="00875EDB"/>
    <w:rsid w:val="00880689"/>
    <w:rsid w:val="0089032B"/>
    <w:rsid w:val="00895A4B"/>
    <w:rsid w:val="008A06B6"/>
    <w:rsid w:val="008A2685"/>
    <w:rsid w:val="008A6AA1"/>
    <w:rsid w:val="008B3505"/>
    <w:rsid w:val="008C20D3"/>
    <w:rsid w:val="008C3106"/>
    <w:rsid w:val="008C5730"/>
    <w:rsid w:val="008D13A0"/>
    <w:rsid w:val="008D19A9"/>
    <w:rsid w:val="008D32E3"/>
    <w:rsid w:val="008D7A68"/>
    <w:rsid w:val="008E0EE0"/>
    <w:rsid w:val="008E4BEE"/>
    <w:rsid w:val="008F59D5"/>
    <w:rsid w:val="009111F9"/>
    <w:rsid w:val="009133CD"/>
    <w:rsid w:val="0092193A"/>
    <w:rsid w:val="009224D5"/>
    <w:rsid w:val="00927618"/>
    <w:rsid w:val="0093363F"/>
    <w:rsid w:val="00935AA0"/>
    <w:rsid w:val="009369D6"/>
    <w:rsid w:val="00943692"/>
    <w:rsid w:val="00960D2A"/>
    <w:rsid w:val="00970C26"/>
    <w:rsid w:val="0097651D"/>
    <w:rsid w:val="00982702"/>
    <w:rsid w:val="00983D90"/>
    <w:rsid w:val="00984D64"/>
    <w:rsid w:val="0099430F"/>
    <w:rsid w:val="00995D4A"/>
    <w:rsid w:val="0099755E"/>
    <w:rsid w:val="009A2432"/>
    <w:rsid w:val="009A27F6"/>
    <w:rsid w:val="009A4F6D"/>
    <w:rsid w:val="009B45ED"/>
    <w:rsid w:val="009C5F0F"/>
    <w:rsid w:val="009C62E7"/>
    <w:rsid w:val="009D2EF7"/>
    <w:rsid w:val="009F51A9"/>
    <w:rsid w:val="009F6A63"/>
    <w:rsid w:val="00A2430F"/>
    <w:rsid w:val="00A255BA"/>
    <w:rsid w:val="00A3779F"/>
    <w:rsid w:val="00A41317"/>
    <w:rsid w:val="00A413D8"/>
    <w:rsid w:val="00A64163"/>
    <w:rsid w:val="00A65514"/>
    <w:rsid w:val="00A65C78"/>
    <w:rsid w:val="00A74BB3"/>
    <w:rsid w:val="00A8219E"/>
    <w:rsid w:val="00A91E7C"/>
    <w:rsid w:val="00A94468"/>
    <w:rsid w:val="00A96865"/>
    <w:rsid w:val="00A97E61"/>
    <w:rsid w:val="00AB6B57"/>
    <w:rsid w:val="00AC0BF4"/>
    <w:rsid w:val="00AD1AED"/>
    <w:rsid w:val="00AE7FE1"/>
    <w:rsid w:val="00AF0FFD"/>
    <w:rsid w:val="00AF46AF"/>
    <w:rsid w:val="00B01B34"/>
    <w:rsid w:val="00B04ABF"/>
    <w:rsid w:val="00B1629F"/>
    <w:rsid w:val="00B210BC"/>
    <w:rsid w:val="00B302B4"/>
    <w:rsid w:val="00B3321D"/>
    <w:rsid w:val="00B4681A"/>
    <w:rsid w:val="00B5307D"/>
    <w:rsid w:val="00B5343D"/>
    <w:rsid w:val="00B5501C"/>
    <w:rsid w:val="00B61371"/>
    <w:rsid w:val="00B6689F"/>
    <w:rsid w:val="00B84D86"/>
    <w:rsid w:val="00B915B6"/>
    <w:rsid w:val="00BA23D9"/>
    <w:rsid w:val="00BA3FA5"/>
    <w:rsid w:val="00BB1CFA"/>
    <w:rsid w:val="00BB7BCB"/>
    <w:rsid w:val="00BD0634"/>
    <w:rsid w:val="00BD4042"/>
    <w:rsid w:val="00BE7D66"/>
    <w:rsid w:val="00C0189C"/>
    <w:rsid w:val="00C03D31"/>
    <w:rsid w:val="00C04273"/>
    <w:rsid w:val="00C21B33"/>
    <w:rsid w:val="00C22CA0"/>
    <w:rsid w:val="00C24716"/>
    <w:rsid w:val="00C249A4"/>
    <w:rsid w:val="00C30238"/>
    <w:rsid w:val="00C32515"/>
    <w:rsid w:val="00C4722A"/>
    <w:rsid w:val="00C62341"/>
    <w:rsid w:val="00C676D8"/>
    <w:rsid w:val="00C750BC"/>
    <w:rsid w:val="00C77505"/>
    <w:rsid w:val="00C77B4F"/>
    <w:rsid w:val="00CA595E"/>
    <w:rsid w:val="00CC4A71"/>
    <w:rsid w:val="00CD41EB"/>
    <w:rsid w:val="00CD7B75"/>
    <w:rsid w:val="00CE29EC"/>
    <w:rsid w:val="00CF29CC"/>
    <w:rsid w:val="00D06709"/>
    <w:rsid w:val="00D06800"/>
    <w:rsid w:val="00D06D8B"/>
    <w:rsid w:val="00D30535"/>
    <w:rsid w:val="00D55031"/>
    <w:rsid w:val="00D569D5"/>
    <w:rsid w:val="00D620C6"/>
    <w:rsid w:val="00D7148C"/>
    <w:rsid w:val="00D72633"/>
    <w:rsid w:val="00D76406"/>
    <w:rsid w:val="00D916A7"/>
    <w:rsid w:val="00D93CA2"/>
    <w:rsid w:val="00D94020"/>
    <w:rsid w:val="00D9404B"/>
    <w:rsid w:val="00D9688B"/>
    <w:rsid w:val="00DA2F85"/>
    <w:rsid w:val="00DA3CF4"/>
    <w:rsid w:val="00DB29BB"/>
    <w:rsid w:val="00DB7CE4"/>
    <w:rsid w:val="00DC4F24"/>
    <w:rsid w:val="00DD3C44"/>
    <w:rsid w:val="00DE21FE"/>
    <w:rsid w:val="00DE29BE"/>
    <w:rsid w:val="00DE7F6A"/>
    <w:rsid w:val="00DF306F"/>
    <w:rsid w:val="00DF47B8"/>
    <w:rsid w:val="00E05994"/>
    <w:rsid w:val="00E06A59"/>
    <w:rsid w:val="00E072E6"/>
    <w:rsid w:val="00E152F7"/>
    <w:rsid w:val="00E22C03"/>
    <w:rsid w:val="00E35FA1"/>
    <w:rsid w:val="00E43678"/>
    <w:rsid w:val="00E530BC"/>
    <w:rsid w:val="00E55AA7"/>
    <w:rsid w:val="00E738F4"/>
    <w:rsid w:val="00E75C53"/>
    <w:rsid w:val="00E85D18"/>
    <w:rsid w:val="00E87285"/>
    <w:rsid w:val="00E9274E"/>
    <w:rsid w:val="00EA23FA"/>
    <w:rsid w:val="00EA4B8A"/>
    <w:rsid w:val="00EC23E7"/>
    <w:rsid w:val="00EC2BCA"/>
    <w:rsid w:val="00EC523E"/>
    <w:rsid w:val="00ED0760"/>
    <w:rsid w:val="00ED673E"/>
    <w:rsid w:val="00EE22E3"/>
    <w:rsid w:val="00EF4A17"/>
    <w:rsid w:val="00F00EC8"/>
    <w:rsid w:val="00F0488B"/>
    <w:rsid w:val="00F1145C"/>
    <w:rsid w:val="00F17C11"/>
    <w:rsid w:val="00F25F45"/>
    <w:rsid w:val="00F44858"/>
    <w:rsid w:val="00F51148"/>
    <w:rsid w:val="00F568D6"/>
    <w:rsid w:val="00F67BDD"/>
    <w:rsid w:val="00F75FFF"/>
    <w:rsid w:val="00F77D37"/>
    <w:rsid w:val="00F8097C"/>
    <w:rsid w:val="00F8359A"/>
    <w:rsid w:val="00F863D9"/>
    <w:rsid w:val="00F86522"/>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93CA2"/>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39"/>
    <w:rsid w:val="009F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72792">
      <w:bodyDiv w:val="1"/>
      <w:marLeft w:val="0"/>
      <w:marRight w:val="0"/>
      <w:marTop w:val="0"/>
      <w:marBottom w:val="0"/>
      <w:divBdr>
        <w:top w:val="none" w:sz="0" w:space="0" w:color="auto"/>
        <w:left w:val="none" w:sz="0" w:space="0" w:color="auto"/>
        <w:bottom w:val="none" w:sz="0" w:space="0" w:color="auto"/>
        <w:right w:val="none" w:sz="0" w:space="0" w:color="auto"/>
      </w:divBdr>
    </w:div>
    <w:div w:id="180604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7</Pages>
  <Words>1191</Words>
  <Characters>6795</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CONVERSION OF ADR TO ORDINARY SHARES</vt:lpstr>
      <vt:lpstr>Index Calculation Guideline</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CONVERSION OF ADR TO ORDINARY SHARES</dc:title>
  <dc:subject>Calculation Documents &amp; Methodologies</dc:subject>
  <dc:creator>Solactive AG</dc:creator>
  <cp:keywords/>
  <dc:description/>
  <cp:lastModifiedBy>Thach, Khoa</cp:lastModifiedBy>
  <cp:revision>20</cp:revision>
  <cp:lastPrinted>2023-11-20T06:23:00Z</cp:lastPrinted>
  <dcterms:created xsi:type="dcterms:W3CDTF">2023-11-10T17:33:00Z</dcterms:created>
  <dcterms:modified xsi:type="dcterms:W3CDTF">2023-11-20T06:36:00Z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