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4D1AE7C" w:rsidR="0092193A" w:rsidRPr="0097651D" w:rsidRDefault="00101D83" w:rsidP="0092193A">
              <w:pPr>
                <w:pStyle w:val="Title"/>
                <w:rPr>
                  <w:lang w:val="en-US"/>
                </w:rPr>
              </w:pPr>
              <w:r w:rsidRPr="00D76406">
                <w:rPr>
                  <w:color w:val="FFFFFF" w:themeColor="background1"/>
                  <w:lang w:val="en-US"/>
                </w:rPr>
                <w:t>Market Consultation</w:t>
              </w:r>
              <w:r>
                <w:rPr>
                  <w:color w:val="FFFFFF" w:themeColor="background1"/>
                  <w:lang w:val="en-US"/>
                </w:rPr>
                <w:t xml:space="preserve">- </w:t>
              </w:r>
              <w:r w:rsidR="00142750">
                <w:rPr>
                  <w:color w:val="FFFFFF" w:themeColor="background1"/>
                  <w:lang w:val="en-US"/>
                </w:rPr>
                <w:t>S</w:t>
              </w:r>
              <w:r>
                <w:rPr>
                  <w:color w:val="FFFFFF" w:themeColor="background1"/>
                  <w:lang w:val="en-US"/>
                </w:rPr>
                <w:t xml:space="preserve">olactive </w:t>
              </w:r>
              <w:r w:rsidR="00142750">
                <w:rPr>
                  <w:color w:val="FFFFFF" w:themeColor="background1"/>
                  <w:lang w:val="en-US"/>
                </w:rPr>
                <w:t>A</w:t>
              </w:r>
              <w:r>
                <w:rPr>
                  <w:color w:val="FFFFFF" w:themeColor="background1"/>
                  <w:lang w:val="en-US"/>
                </w:rPr>
                <w:t xml:space="preserve">gtech &amp; </w:t>
              </w:r>
              <w:r w:rsidR="00142750">
                <w:rPr>
                  <w:color w:val="FFFFFF" w:themeColor="background1"/>
                  <w:lang w:val="en-US"/>
                </w:rPr>
                <w:t>F</w:t>
              </w:r>
              <w:r>
                <w:rPr>
                  <w:color w:val="FFFFFF" w:themeColor="background1"/>
                  <w:lang w:val="en-US"/>
                </w:rPr>
                <w:t xml:space="preserve">ood </w:t>
              </w:r>
              <w:r w:rsidR="00142750">
                <w:rPr>
                  <w:color w:val="FFFFFF" w:themeColor="background1"/>
                  <w:lang w:val="en-US"/>
                </w:rPr>
                <w:t>I</w:t>
              </w:r>
              <w:r>
                <w:rPr>
                  <w:color w:val="FFFFFF" w:themeColor="background1"/>
                  <w:lang w:val="en-US"/>
                </w:rPr>
                <w:t xml:space="preserve">nnovation </w:t>
              </w:r>
              <w:r w:rsidR="00142750">
                <w:rPr>
                  <w:color w:val="FFFFFF" w:themeColor="background1"/>
                  <w:lang w:val="en-US"/>
                </w:rPr>
                <w:t>I</w:t>
              </w:r>
              <w:r>
                <w:rPr>
                  <w:color w:val="FFFFFF" w:themeColor="background1"/>
                  <w:lang w:val="en-US"/>
                </w:rPr>
                <w:t>ndex v2</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A43FFFC" w:rsidR="00466905" w:rsidRPr="00D902A1" w:rsidRDefault="00FD268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10-06T00:00:00Z">
                                      <w:dateFormat w:val="dd MMMM yyyy"/>
                                      <w:lid w:val="en-GB"/>
                                      <w:storeMappedDataAs w:val="dateTime"/>
                                      <w:calendar w:val="gregorian"/>
                                    </w:date>
                                  </w:sdtPr>
                                  <w:sdtEndPr/>
                                  <w:sdtContent>
                                    <w:r w:rsidR="0024442B">
                                      <w:rPr>
                                        <w:color w:val="FFFFFF" w:themeColor="background1"/>
                                        <w:sz w:val="26"/>
                                        <w:szCs w:val="26"/>
                                        <w:lang w:val="en-GB"/>
                                      </w:rPr>
                                      <w:t>06 October 2023</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0A43FFFC" w:rsidR="00466905" w:rsidRPr="00D902A1" w:rsidRDefault="00FD268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10-06T00:00:00Z">
                                <w:dateFormat w:val="dd MMMM yyyy"/>
                                <w:lid w:val="en-GB"/>
                                <w:storeMappedDataAs w:val="dateTime"/>
                                <w:calendar w:val="gregorian"/>
                              </w:date>
                            </w:sdtPr>
                            <w:sdtEndPr/>
                            <w:sdtContent>
                              <w:r w:rsidR="0024442B">
                                <w:rPr>
                                  <w:color w:val="FFFFFF" w:themeColor="background1"/>
                                  <w:sz w:val="26"/>
                                  <w:szCs w:val="26"/>
                                  <w:lang w:val="en-GB"/>
                                </w:rPr>
                                <w:t>06 October 2023</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4C55C0CC"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Methodology of the following</w:t>
      </w:r>
      <w:r w:rsidR="00101D83">
        <w:rPr>
          <w:lang w:val="en-US"/>
        </w:rPr>
        <w:t xml:space="preserve"> indices</w:t>
      </w:r>
      <w:r w:rsidR="00E05994">
        <w:rPr>
          <w:lang w:val="en-US"/>
        </w:rPr>
        <w:t xml:space="preserve"> (the </w:t>
      </w:r>
      <w:r w:rsidR="00101D83">
        <w:rPr>
          <w:lang w:val="en-US"/>
        </w:rPr>
        <w:t>‘indices’</w:t>
      </w:r>
      <w:r w:rsidR="00E05994">
        <w:rPr>
          <w:lang w:val="en-US"/>
        </w:rPr>
        <w:t>):</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27"/>
        <w:gridCol w:w="1560"/>
        <w:gridCol w:w="1842"/>
      </w:tblGrid>
      <w:tr w:rsidR="00B261BE" w14:paraId="403057B7" w14:textId="77777777" w:rsidTr="00142750">
        <w:trPr>
          <w:trHeight w:val="201"/>
        </w:trPr>
        <w:tc>
          <w:tcPr>
            <w:tcW w:w="6227" w:type="dxa"/>
            <w:noWrap/>
            <w:tcMar>
              <w:top w:w="0" w:type="dxa"/>
              <w:left w:w="70" w:type="dxa"/>
              <w:bottom w:w="0" w:type="dxa"/>
              <w:right w:w="70" w:type="dxa"/>
            </w:tcMar>
            <w:vAlign w:val="bottom"/>
          </w:tcPr>
          <w:p w14:paraId="4F9E01CD" w14:textId="77777777" w:rsidR="00B261BE" w:rsidRPr="00B261BE" w:rsidRDefault="00B261BE" w:rsidP="00E61A83">
            <w:pPr>
              <w:jc w:val="center"/>
              <w:rPr>
                <w:rFonts w:eastAsia="Calibri"/>
                <w:color w:val="000000"/>
                <w:sz w:val="22"/>
                <w:szCs w:val="22"/>
                <w:lang w:val="en-US" w:eastAsia="en-US"/>
              </w:rPr>
            </w:pPr>
            <w:r w:rsidRPr="00B261BE">
              <w:rPr>
                <w:rFonts w:eastAsia="Calibri"/>
                <w:color w:val="000000"/>
                <w:sz w:val="22"/>
                <w:szCs w:val="22"/>
                <w:lang w:val="en-US" w:eastAsia="en-US"/>
              </w:rPr>
              <w:t>Index</w:t>
            </w:r>
          </w:p>
        </w:tc>
        <w:tc>
          <w:tcPr>
            <w:tcW w:w="1560" w:type="dxa"/>
            <w:noWrap/>
            <w:tcMar>
              <w:top w:w="0" w:type="dxa"/>
              <w:left w:w="70" w:type="dxa"/>
              <w:bottom w:w="0" w:type="dxa"/>
              <w:right w:w="70" w:type="dxa"/>
            </w:tcMar>
            <w:vAlign w:val="bottom"/>
          </w:tcPr>
          <w:p w14:paraId="7BB7ED49" w14:textId="77777777" w:rsidR="00B261BE" w:rsidRPr="00B261BE" w:rsidRDefault="00B261BE" w:rsidP="00E61A83">
            <w:pPr>
              <w:jc w:val="center"/>
              <w:rPr>
                <w:rFonts w:eastAsia="Calibri"/>
                <w:color w:val="000000"/>
                <w:lang w:val="en-GB" w:eastAsia="en-US"/>
              </w:rPr>
            </w:pPr>
            <w:r w:rsidRPr="00B261BE">
              <w:rPr>
                <w:rFonts w:eastAsia="Calibri"/>
                <w:color w:val="000000"/>
                <w:lang w:val="en-GB" w:eastAsia="en-US"/>
              </w:rPr>
              <w:t>RIC</w:t>
            </w:r>
          </w:p>
        </w:tc>
        <w:tc>
          <w:tcPr>
            <w:tcW w:w="1842" w:type="dxa"/>
            <w:noWrap/>
            <w:tcMar>
              <w:top w:w="0" w:type="dxa"/>
              <w:left w:w="70" w:type="dxa"/>
              <w:bottom w:w="0" w:type="dxa"/>
              <w:right w:w="70" w:type="dxa"/>
            </w:tcMar>
            <w:vAlign w:val="bottom"/>
          </w:tcPr>
          <w:p w14:paraId="5A17053A" w14:textId="77777777" w:rsidR="00B261BE" w:rsidRPr="00B261BE" w:rsidRDefault="00B261BE" w:rsidP="00E61A83">
            <w:pPr>
              <w:jc w:val="center"/>
              <w:rPr>
                <w:rFonts w:eastAsia="Calibri"/>
                <w:color w:val="000000"/>
                <w:lang w:val="en-GB" w:eastAsia="en-US"/>
              </w:rPr>
            </w:pPr>
            <w:r w:rsidRPr="00B261BE">
              <w:rPr>
                <w:rFonts w:eastAsia="Calibri"/>
                <w:color w:val="000000"/>
                <w:lang w:val="en-GB" w:eastAsia="en-US"/>
              </w:rPr>
              <w:t>ISIN</w:t>
            </w:r>
          </w:p>
        </w:tc>
      </w:tr>
      <w:tr w:rsidR="00B261BE" w14:paraId="533AFA42" w14:textId="77777777" w:rsidTr="00142750">
        <w:trPr>
          <w:trHeight w:val="201"/>
        </w:trPr>
        <w:tc>
          <w:tcPr>
            <w:tcW w:w="6227" w:type="dxa"/>
            <w:noWrap/>
            <w:tcMar>
              <w:top w:w="0" w:type="dxa"/>
              <w:left w:w="70" w:type="dxa"/>
              <w:bottom w:w="0" w:type="dxa"/>
              <w:right w:w="70" w:type="dxa"/>
            </w:tcMar>
            <w:vAlign w:val="bottom"/>
          </w:tcPr>
          <w:p w14:paraId="19A1D290" w14:textId="77777777" w:rsidR="00B261BE" w:rsidRPr="00B261BE" w:rsidRDefault="00B261BE" w:rsidP="00B261BE">
            <w:pPr>
              <w:jc w:val="center"/>
              <w:rPr>
                <w:rFonts w:eastAsia="Calibri"/>
                <w:color w:val="000000"/>
                <w:sz w:val="22"/>
                <w:szCs w:val="22"/>
                <w:lang w:val="en-US" w:eastAsia="en-US"/>
              </w:rPr>
            </w:pPr>
            <w:r w:rsidRPr="00B261BE">
              <w:rPr>
                <w:rFonts w:eastAsia="Calibri"/>
                <w:color w:val="000000"/>
                <w:sz w:val="22"/>
                <w:szCs w:val="22"/>
                <w:lang w:val="en-US" w:eastAsia="en-US"/>
              </w:rPr>
              <w:t>Solactive AgTech and Food Innovation v2 Index</w:t>
            </w:r>
          </w:p>
        </w:tc>
        <w:tc>
          <w:tcPr>
            <w:tcW w:w="1560" w:type="dxa"/>
            <w:noWrap/>
            <w:tcMar>
              <w:top w:w="0" w:type="dxa"/>
              <w:left w:w="70" w:type="dxa"/>
              <w:bottom w:w="0" w:type="dxa"/>
              <w:right w:w="70" w:type="dxa"/>
            </w:tcMar>
            <w:vAlign w:val="bottom"/>
          </w:tcPr>
          <w:p w14:paraId="701791EF" w14:textId="77777777" w:rsidR="00B261BE" w:rsidRPr="00B261BE" w:rsidRDefault="00B261BE" w:rsidP="00B261BE">
            <w:pPr>
              <w:jc w:val="center"/>
              <w:rPr>
                <w:rFonts w:eastAsia="Calibri"/>
                <w:color w:val="000000"/>
                <w:lang w:val="en-GB" w:eastAsia="en-US"/>
              </w:rPr>
            </w:pPr>
            <w:r w:rsidRPr="00B261BE">
              <w:rPr>
                <w:rFonts w:eastAsia="Calibri"/>
                <w:color w:val="000000"/>
                <w:lang w:val="en-GB" w:eastAsia="en-US"/>
              </w:rPr>
              <w:t>.SOLKROP2</w:t>
            </w:r>
          </w:p>
        </w:tc>
        <w:tc>
          <w:tcPr>
            <w:tcW w:w="1842" w:type="dxa"/>
            <w:noWrap/>
            <w:tcMar>
              <w:top w:w="0" w:type="dxa"/>
              <w:left w:w="70" w:type="dxa"/>
              <w:bottom w:w="0" w:type="dxa"/>
              <w:right w:w="70" w:type="dxa"/>
            </w:tcMar>
            <w:vAlign w:val="bottom"/>
          </w:tcPr>
          <w:p w14:paraId="534683CC" w14:textId="77777777" w:rsidR="00B261BE" w:rsidRPr="00B261BE" w:rsidRDefault="00B261BE" w:rsidP="00E61A83">
            <w:pPr>
              <w:jc w:val="center"/>
              <w:rPr>
                <w:rFonts w:eastAsia="Calibri"/>
                <w:color w:val="000000"/>
                <w:lang w:val="en-GB" w:eastAsia="en-US"/>
              </w:rPr>
            </w:pPr>
            <w:r w:rsidRPr="00B261BE">
              <w:rPr>
                <w:rFonts w:eastAsia="Calibri"/>
                <w:color w:val="000000"/>
                <w:lang w:val="en-GB" w:eastAsia="en-US"/>
              </w:rPr>
              <w:t>DE000SL0D1Y8</w:t>
            </w:r>
          </w:p>
        </w:tc>
      </w:tr>
      <w:tr w:rsidR="00B261BE" w14:paraId="70AFE547" w14:textId="77777777" w:rsidTr="00142750">
        <w:trPr>
          <w:trHeight w:val="201"/>
        </w:trPr>
        <w:tc>
          <w:tcPr>
            <w:tcW w:w="6227" w:type="dxa"/>
            <w:noWrap/>
            <w:tcMar>
              <w:top w:w="0" w:type="dxa"/>
              <w:left w:w="70" w:type="dxa"/>
              <w:bottom w:w="0" w:type="dxa"/>
              <w:right w:w="70" w:type="dxa"/>
            </w:tcMar>
            <w:vAlign w:val="bottom"/>
          </w:tcPr>
          <w:p w14:paraId="189F84F4" w14:textId="77777777" w:rsidR="00B261BE" w:rsidRPr="00B261BE" w:rsidRDefault="00B261BE" w:rsidP="00B261BE">
            <w:pPr>
              <w:jc w:val="center"/>
              <w:rPr>
                <w:rFonts w:eastAsia="Calibri"/>
                <w:color w:val="000000"/>
                <w:sz w:val="22"/>
                <w:szCs w:val="22"/>
                <w:lang w:val="en-US" w:eastAsia="en-US"/>
              </w:rPr>
            </w:pPr>
            <w:r w:rsidRPr="00B261BE">
              <w:rPr>
                <w:rFonts w:eastAsia="Calibri"/>
                <w:color w:val="000000"/>
                <w:sz w:val="22"/>
                <w:szCs w:val="22"/>
                <w:lang w:val="en-US" w:eastAsia="en-US"/>
              </w:rPr>
              <w:t>Solactive AgTech and Food Innovation v2 Index GTR</w:t>
            </w:r>
          </w:p>
        </w:tc>
        <w:tc>
          <w:tcPr>
            <w:tcW w:w="1560" w:type="dxa"/>
            <w:noWrap/>
            <w:tcMar>
              <w:top w:w="0" w:type="dxa"/>
              <w:left w:w="70" w:type="dxa"/>
              <w:bottom w:w="0" w:type="dxa"/>
              <w:right w:w="70" w:type="dxa"/>
            </w:tcMar>
            <w:vAlign w:val="bottom"/>
          </w:tcPr>
          <w:p w14:paraId="3ABC495A" w14:textId="77777777" w:rsidR="00B261BE" w:rsidRPr="00B261BE" w:rsidRDefault="00B261BE" w:rsidP="00B261BE">
            <w:pPr>
              <w:jc w:val="center"/>
              <w:rPr>
                <w:rFonts w:eastAsia="Calibri"/>
                <w:color w:val="000000"/>
                <w:lang w:val="en-GB" w:eastAsia="en-US"/>
              </w:rPr>
            </w:pPr>
            <w:r w:rsidRPr="00B261BE">
              <w:rPr>
                <w:rFonts w:eastAsia="Calibri"/>
                <w:color w:val="000000"/>
                <w:lang w:val="en-GB" w:eastAsia="en-US"/>
              </w:rPr>
              <w:t>.SOKROP2T</w:t>
            </w:r>
          </w:p>
        </w:tc>
        <w:tc>
          <w:tcPr>
            <w:tcW w:w="1842" w:type="dxa"/>
            <w:noWrap/>
            <w:tcMar>
              <w:top w:w="0" w:type="dxa"/>
              <w:left w:w="70" w:type="dxa"/>
              <w:bottom w:w="0" w:type="dxa"/>
              <w:right w:w="70" w:type="dxa"/>
            </w:tcMar>
            <w:vAlign w:val="bottom"/>
          </w:tcPr>
          <w:p w14:paraId="6456CAD3" w14:textId="77777777" w:rsidR="00B261BE" w:rsidRPr="00B261BE" w:rsidRDefault="00B261BE" w:rsidP="00E61A83">
            <w:pPr>
              <w:jc w:val="center"/>
              <w:rPr>
                <w:rFonts w:eastAsia="Calibri"/>
                <w:color w:val="000000"/>
                <w:lang w:val="en-GB" w:eastAsia="en-US"/>
              </w:rPr>
            </w:pPr>
            <w:r w:rsidRPr="00B261BE">
              <w:rPr>
                <w:rFonts w:eastAsia="Calibri"/>
                <w:color w:val="000000"/>
                <w:lang w:val="en-GB" w:eastAsia="en-US"/>
              </w:rPr>
              <w:t>DE000SL0D1Z5</w:t>
            </w:r>
          </w:p>
        </w:tc>
      </w:tr>
      <w:tr w:rsidR="00B261BE" w14:paraId="56945A7B" w14:textId="77777777" w:rsidTr="00142750">
        <w:trPr>
          <w:trHeight w:val="201"/>
        </w:trPr>
        <w:tc>
          <w:tcPr>
            <w:tcW w:w="6227" w:type="dxa"/>
            <w:noWrap/>
            <w:tcMar>
              <w:top w:w="0" w:type="dxa"/>
              <w:left w:w="70" w:type="dxa"/>
              <w:bottom w:w="0" w:type="dxa"/>
              <w:right w:w="70" w:type="dxa"/>
            </w:tcMar>
            <w:vAlign w:val="bottom"/>
          </w:tcPr>
          <w:p w14:paraId="26FBD2D3" w14:textId="77777777" w:rsidR="00B261BE" w:rsidRPr="00B261BE" w:rsidRDefault="00B261BE" w:rsidP="00B261BE">
            <w:pPr>
              <w:jc w:val="center"/>
              <w:rPr>
                <w:rFonts w:eastAsia="Calibri"/>
                <w:color w:val="000000"/>
                <w:sz w:val="22"/>
                <w:szCs w:val="22"/>
                <w:lang w:val="en-US" w:eastAsia="en-US"/>
              </w:rPr>
            </w:pPr>
            <w:r w:rsidRPr="00B261BE">
              <w:rPr>
                <w:rFonts w:eastAsia="Calibri"/>
                <w:color w:val="000000"/>
                <w:sz w:val="22"/>
                <w:szCs w:val="22"/>
                <w:lang w:val="en-US" w:eastAsia="en-US"/>
              </w:rPr>
              <w:t>Solactive AgTech and Food Innovation v2 Index PR</w:t>
            </w:r>
          </w:p>
        </w:tc>
        <w:tc>
          <w:tcPr>
            <w:tcW w:w="1560" w:type="dxa"/>
            <w:noWrap/>
            <w:tcMar>
              <w:top w:w="0" w:type="dxa"/>
              <w:left w:w="70" w:type="dxa"/>
              <w:bottom w:w="0" w:type="dxa"/>
              <w:right w:w="70" w:type="dxa"/>
            </w:tcMar>
            <w:vAlign w:val="bottom"/>
          </w:tcPr>
          <w:p w14:paraId="25D3B036" w14:textId="77777777" w:rsidR="00B261BE" w:rsidRPr="00B261BE" w:rsidRDefault="00B261BE" w:rsidP="00B261BE">
            <w:pPr>
              <w:jc w:val="center"/>
              <w:rPr>
                <w:rFonts w:eastAsia="Calibri"/>
                <w:color w:val="000000"/>
                <w:lang w:val="en-GB" w:eastAsia="en-US"/>
              </w:rPr>
            </w:pPr>
            <w:r w:rsidRPr="00B261BE">
              <w:rPr>
                <w:rFonts w:eastAsia="Calibri"/>
                <w:color w:val="000000"/>
                <w:lang w:val="en-GB" w:eastAsia="en-US"/>
              </w:rPr>
              <w:t>.SOKROP2P</w:t>
            </w:r>
          </w:p>
        </w:tc>
        <w:tc>
          <w:tcPr>
            <w:tcW w:w="1842" w:type="dxa"/>
            <w:noWrap/>
            <w:tcMar>
              <w:top w:w="0" w:type="dxa"/>
              <w:left w:w="70" w:type="dxa"/>
              <w:bottom w:w="0" w:type="dxa"/>
              <w:right w:w="70" w:type="dxa"/>
            </w:tcMar>
            <w:vAlign w:val="bottom"/>
          </w:tcPr>
          <w:p w14:paraId="451BCD00" w14:textId="77777777" w:rsidR="00B261BE" w:rsidRPr="00B261BE" w:rsidRDefault="00B261BE" w:rsidP="00E61A83">
            <w:pPr>
              <w:jc w:val="center"/>
              <w:rPr>
                <w:rFonts w:eastAsia="Calibri"/>
                <w:color w:val="000000"/>
                <w:lang w:val="en-GB" w:eastAsia="en-US"/>
              </w:rPr>
            </w:pPr>
            <w:r w:rsidRPr="00B261BE">
              <w:rPr>
                <w:rFonts w:eastAsia="Calibri"/>
                <w:color w:val="000000"/>
                <w:lang w:val="en-GB" w:eastAsia="en-US"/>
              </w:rPr>
              <w:t>DE000SL0D1X0</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2BF4DE5A" w14:textId="41427F38" w:rsidR="007E47D4" w:rsidRDefault="00783C68" w:rsidP="00F568D6">
      <w:pPr>
        <w:spacing w:before="0" w:after="160" w:line="259" w:lineRule="auto"/>
        <w:jc w:val="left"/>
        <w:rPr>
          <w:u w:val="single"/>
          <w:lang w:val="en-GB"/>
        </w:rPr>
      </w:pPr>
      <w:r>
        <w:rPr>
          <w:lang w:val="en-GB"/>
        </w:rPr>
        <w:t xml:space="preserve"> </w:t>
      </w:r>
      <w:r w:rsidR="00142750">
        <w:rPr>
          <w:lang w:val="en-GB"/>
        </w:rPr>
        <w:t>Solactive has determined that the introduction of an ESG screen/filter brings the aforementioned indices in line with other v2 thematic indices with respect to the adherence of UN Global Compact Principles. The filter will ensure the exclusion of securities of companies that are involved in controversial lines of business.</w:t>
      </w:r>
    </w:p>
    <w:p w14:paraId="2A079CAD" w14:textId="51E0310A"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w:t>
      </w:r>
      <w:r w:rsidR="00B261BE">
        <w:rPr>
          <w:b/>
          <w:bCs/>
          <w:sz w:val="28"/>
          <w:szCs w:val="28"/>
          <w:u w:val="single"/>
          <w:lang w:val="en-CA"/>
        </w:rPr>
        <w:t>es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47D2725D" w:rsidR="004A428F" w:rsidRDefault="004A428F" w:rsidP="0026131F">
      <w:pPr>
        <w:spacing w:before="0" w:after="160" w:line="259" w:lineRule="auto"/>
        <w:rPr>
          <w:lang w:val="en-GB"/>
        </w:rPr>
      </w:pPr>
      <w:r>
        <w:rPr>
          <w:lang w:val="en-GB"/>
        </w:rPr>
        <w:t>The following Methodology chang</w:t>
      </w:r>
      <w:r w:rsidR="00101D83">
        <w:rPr>
          <w:lang w:val="en-GB"/>
        </w:rPr>
        <w:t>es</w:t>
      </w:r>
      <w:r>
        <w:rPr>
          <w:lang w:val="en-GB"/>
        </w:rPr>
        <w:t xml:space="preserve"> </w:t>
      </w:r>
      <w:r w:rsidR="00101D83">
        <w:rPr>
          <w:lang w:val="en-GB"/>
        </w:rPr>
        <w:t>are</w:t>
      </w:r>
      <w:r>
        <w:rPr>
          <w:lang w:val="en-GB"/>
        </w:rPr>
        <w:t xml:space="preserve"> proposed in the following poin</w:t>
      </w:r>
      <w:r w:rsidR="00101D83">
        <w:rPr>
          <w:lang w:val="en-GB"/>
        </w:rPr>
        <w:t>ts</w:t>
      </w:r>
      <w:r w:rsidR="00A64163" w:rsidRPr="0026131F" w:rsidDel="00C77B4F">
        <w:rPr>
          <w:lang w:val="en-GB"/>
        </w:rPr>
        <w:t xml:space="preserve"> </w:t>
      </w:r>
      <w:r w:rsidR="00C32515">
        <w:rPr>
          <w:lang w:val="en-GB"/>
        </w:rPr>
        <w:t>of the Index Guideline</w:t>
      </w:r>
      <w:r w:rsidR="00101D83">
        <w:rPr>
          <w:lang w:val="en-GB"/>
        </w:rPr>
        <w:t xml:space="preserve"> [Section 2.</w:t>
      </w:r>
      <w:r>
        <w:rPr>
          <w:lang w:val="en-GB"/>
        </w:rPr>
        <w:t xml:space="preserve"> </w:t>
      </w:r>
      <w:r w:rsidR="00142750">
        <w:rPr>
          <w:lang w:val="en-GB"/>
        </w:rPr>
        <w:t xml:space="preserve">2] </w:t>
      </w:r>
      <w:r>
        <w:rPr>
          <w:lang w:val="en-GB"/>
        </w:rPr>
        <w:t>(ordered in accordance with the numbering of the affected sections)]:</w:t>
      </w:r>
    </w:p>
    <w:p w14:paraId="23467652" w14:textId="61614AC6" w:rsidR="00142750" w:rsidRPr="00142750" w:rsidRDefault="00142750" w:rsidP="00142750">
      <w:pPr>
        <w:spacing w:before="0" w:after="160" w:line="259" w:lineRule="auto"/>
        <w:rPr>
          <w:i/>
          <w:lang w:val="en-GB"/>
        </w:rPr>
      </w:pPr>
      <w:r>
        <w:rPr>
          <w:i/>
          <w:lang w:val="en-GB"/>
        </w:rPr>
        <w:t>T</w:t>
      </w:r>
      <w:r w:rsidRPr="00142750">
        <w:rPr>
          <w:i/>
          <w:lang w:val="en-GB"/>
        </w:rPr>
        <w:t xml:space="preserve">he introduction of a Minerva ESG screen. As a result, the following will be added to the guideline and reflected in </w:t>
      </w:r>
      <w:r>
        <w:rPr>
          <w:i/>
          <w:lang w:val="en-GB"/>
        </w:rPr>
        <w:t>section 2.2 of the Index Methodology</w:t>
      </w:r>
      <w:r w:rsidRPr="00142750">
        <w:rPr>
          <w:i/>
          <w:lang w:val="en-GB"/>
        </w:rPr>
        <w:t>:</w:t>
      </w:r>
    </w:p>
    <w:p w14:paraId="3355F1C5" w14:textId="77777777" w:rsidR="00142750" w:rsidRPr="00F466B4" w:rsidRDefault="00142750" w:rsidP="00142750">
      <w:pPr>
        <w:rPr>
          <w:lang w:val="en-US" w:eastAsia="en-US"/>
        </w:rPr>
      </w:pPr>
      <w:r w:rsidRPr="00F466B4">
        <w:rPr>
          <w:lang w:val="en-US" w:eastAsia="en-US"/>
        </w:rPr>
        <w:t xml:space="preserve">The companies selected after completion of the above steps will be evaluated on the criteria outlined below. The evaluation is based on data provided by the </w:t>
      </w:r>
      <w:r>
        <w:rPr>
          <w:lang w:val="en-US" w:eastAsia="en-US"/>
        </w:rPr>
        <w:t xml:space="preserve">ESG </w:t>
      </w:r>
      <w:r w:rsidRPr="00F466B4">
        <w:rPr>
          <w:smallCaps/>
          <w:lang w:val="en-US" w:eastAsia="en-US"/>
        </w:rPr>
        <w:t>Data Provider</w:t>
      </w:r>
      <w:r w:rsidRPr="00F466B4">
        <w:rPr>
          <w:lang w:val="en-US" w:eastAsia="en-US"/>
        </w:rPr>
        <w:t>:</w:t>
      </w:r>
    </w:p>
    <w:p w14:paraId="0328F45A" w14:textId="77777777" w:rsidR="00142750" w:rsidRDefault="00142750" w:rsidP="00142750">
      <w:pPr>
        <w:numPr>
          <w:ilvl w:val="0"/>
          <w:numId w:val="22"/>
        </w:numPr>
        <w:spacing w:before="0" w:after="0"/>
        <w:jc w:val="left"/>
        <w:rPr>
          <w:color w:val="000000"/>
          <w:lang w:val="en-GB"/>
        </w:rPr>
      </w:pPr>
      <w:r w:rsidRPr="00EE4112">
        <w:rPr>
          <w:color w:val="000000"/>
          <w:lang w:val="en-GB"/>
        </w:rPr>
        <w:t>UN Global Compact Principles</w:t>
      </w:r>
    </w:p>
    <w:p w14:paraId="5532D5BE" w14:textId="77777777" w:rsidR="00142750" w:rsidRPr="00A568DE" w:rsidRDefault="00142750" w:rsidP="00142750">
      <w:pPr>
        <w:numPr>
          <w:ilvl w:val="1"/>
          <w:numId w:val="22"/>
        </w:numPr>
        <w:spacing w:before="0" w:after="0"/>
        <w:jc w:val="left"/>
        <w:rPr>
          <w:color w:val="000000"/>
          <w:lang w:val="en-GB"/>
        </w:rPr>
      </w:pPr>
      <w:r>
        <w:rPr>
          <w:color w:val="000000"/>
          <w:lang w:val="en-GB"/>
        </w:rPr>
        <w:t>Non-Compliance with the UNGC</w:t>
      </w:r>
    </w:p>
    <w:p w14:paraId="1A3ECAF2" w14:textId="77777777" w:rsidR="00142750" w:rsidRPr="00F466B4" w:rsidRDefault="00142750" w:rsidP="00142750">
      <w:pPr>
        <w:pStyle w:val="ListParagraph"/>
        <w:numPr>
          <w:ilvl w:val="0"/>
          <w:numId w:val="22"/>
        </w:numPr>
        <w:spacing w:before="0" w:after="0" w:line="259" w:lineRule="auto"/>
        <w:jc w:val="left"/>
        <w:rPr>
          <w:lang w:eastAsia="en-US"/>
        </w:rPr>
      </w:pPr>
      <w:r w:rsidRPr="00F466B4">
        <w:rPr>
          <w:lang w:eastAsia="en-US"/>
        </w:rPr>
        <w:t>Controversial Weapons</w:t>
      </w:r>
    </w:p>
    <w:p w14:paraId="75FC6620" w14:textId="77777777" w:rsidR="00142750" w:rsidRPr="001A1A6D" w:rsidRDefault="00142750" w:rsidP="00142750">
      <w:pPr>
        <w:pStyle w:val="ListParagraph"/>
        <w:numPr>
          <w:ilvl w:val="1"/>
          <w:numId w:val="22"/>
        </w:numPr>
        <w:spacing w:before="0" w:after="0" w:line="259" w:lineRule="auto"/>
        <w:jc w:val="left"/>
        <w:rPr>
          <w:lang w:val="en-US" w:eastAsia="en-US"/>
        </w:rPr>
      </w:pPr>
      <w:r w:rsidRPr="001A1A6D">
        <w:rPr>
          <w:lang w:val="en-US" w:eastAsia="en-US"/>
        </w:rPr>
        <w:t>Companies involved in the production development or maintenance of Anti-personnel Mines, Biological or chemical weapons, Cluster munitions, Depleted uranium, Nuclear Weapons, or any other weapon that violate humanitarian principles through normal use</w:t>
      </w:r>
    </w:p>
    <w:p w14:paraId="6EE6CD03" w14:textId="77777777" w:rsidR="00142750" w:rsidRPr="001A1A6D" w:rsidRDefault="00142750" w:rsidP="00142750">
      <w:pPr>
        <w:pStyle w:val="ListParagraph"/>
        <w:numPr>
          <w:ilvl w:val="1"/>
          <w:numId w:val="22"/>
        </w:numPr>
        <w:spacing w:before="0" w:after="0" w:line="259" w:lineRule="auto"/>
        <w:jc w:val="left"/>
        <w:rPr>
          <w:lang w:val="en-US" w:eastAsia="en-US"/>
        </w:rPr>
      </w:pPr>
      <w:r w:rsidRPr="001A1A6D">
        <w:rPr>
          <w:lang w:val="en-US" w:eastAsia="en-US"/>
        </w:rPr>
        <w:t>Companies that produce or develop key and dedicated components for controversial weapons</w:t>
      </w:r>
    </w:p>
    <w:p w14:paraId="2753E1CE" w14:textId="77777777" w:rsidR="00142750" w:rsidRPr="001A1A6D" w:rsidRDefault="00142750" w:rsidP="00142750">
      <w:pPr>
        <w:pStyle w:val="ListParagraph"/>
        <w:numPr>
          <w:ilvl w:val="1"/>
          <w:numId w:val="22"/>
        </w:numPr>
        <w:spacing w:before="0" w:after="0" w:line="259" w:lineRule="auto"/>
        <w:jc w:val="left"/>
        <w:rPr>
          <w:lang w:val="en-US" w:eastAsia="en-US"/>
        </w:rPr>
      </w:pPr>
      <w:r w:rsidRPr="001A1A6D">
        <w:rPr>
          <w:lang w:val="en-US" w:eastAsia="en-US"/>
        </w:rPr>
        <w:t>Companies involved in the production and/or services tailor made for the defence industry or the military</w:t>
      </w:r>
    </w:p>
    <w:p w14:paraId="580A5D19" w14:textId="77777777" w:rsidR="00142750" w:rsidRPr="001A1A6D" w:rsidRDefault="00142750" w:rsidP="00142750">
      <w:pPr>
        <w:pStyle w:val="ListParagraph"/>
        <w:numPr>
          <w:ilvl w:val="1"/>
          <w:numId w:val="22"/>
        </w:numPr>
        <w:spacing w:before="0" w:after="0" w:line="259" w:lineRule="auto"/>
        <w:jc w:val="left"/>
        <w:rPr>
          <w:lang w:val="en-US" w:eastAsia="en-US"/>
        </w:rPr>
      </w:pPr>
      <w:r w:rsidRPr="001A1A6D">
        <w:rPr>
          <w:lang w:val="en-US" w:eastAsia="en-US"/>
        </w:rPr>
        <w:t>Companies that hold ≥20% stake in a company that is involved in controversial weapons</w:t>
      </w:r>
    </w:p>
    <w:p w14:paraId="20A269F1" w14:textId="77777777" w:rsidR="00142750" w:rsidRPr="001A1A6D" w:rsidRDefault="00142750" w:rsidP="00142750">
      <w:pPr>
        <w:pStyle w:val="ListParagraph"/>
        <w:numPr>
          <w:ilvl w:val="1"/>
          <w:numId w:val="22"/>
        </w:numPr>
        <w:spacing w:before="0" w:after="0" w:line="259" w:lineRule="auto"/>
        <w:jc w:val="left"/>
        <w:rPr>
          <w:lang w:val="en-US" w:eastAsia="en-US"/>
        </w:rPr>
      </w:pPr>
      <w:r w:rsidRPr="001A1A6D">
        <w:rPr>
          <w:lang w:val="en-US" w:eastAsia="en-US"/>
        </w:rPr>
        <w:lastRenderedPageBreak/>
        <w:t>Companies currently ≥ 50% owned by a company that is involved in controversial weapons</w:t>
      </w:r>
    </w:p>
    <w:p w14:paraId="11C6FE92" w14:textId="77777777" w:rsidR="00142750" w:rsidRPr="00F466B4" w:rsidRDefault="00142750" w:rsidP="00142750">
      <w:pPr>
        <w:pStyle w:val="ListParagraph"/>
        <w:numPr>
          <w:ilvl w:val="0"/>
          <w:numId w:val="22"/>
        </w:numPr>
        <w:spacing w:before="0" w:after="0" w:line="259" w:lineRule="auto"/>
        <w:jc w:val="left"/>
        <w:rPr>
          <w:lang w:eastAsia="en-US"/>
        </w:rPr>
      </w:pPr>
      <w:r w:rsidRPr="00F466B4">
        <w:rPr>
          <w:lang w:eastAsia="en-US"/>
        </w:rPr>
        <w:t>Small Arms</w:t>
      </w:r>
    </w:p>
    <w:p w14:paraId="1A20ED79" w14:textId="77777777" w:rsidR="00142750" w:rsidRPr="001A1A6D" w:rsidRDefault="00142750" w:rsidP="00142750">
      <w:pPr>
        <w:pStyle w:val="ListParagraph"/>
        <w:numPr>
          <w:ilvl w:val="1"/>
          <w:numId w:val="22"/>
        </w:numPr>
        <w:spacing w:before="0" w:after="0" w:line="259" w:lineRule="auto"/>
        <w:jc w:val="left"/>
        <w:rPr>
          <w:lang w:val="en-US" w:eastAsia="en-US"/>
        </w:rPr>
      </w:pPr>
      <w:r w:rsidRPr="00F466B4">
        <w:rPr>
          <w:lang w:val="en-US"/>
        </w:rPr>
        <w:t>&gt;5% of their revenue from the production or distribution of arms, both public and privat</w:t>
      </w:r>
      <w:r>
        <w:rPr>
          <w:lang w:val="en-US"/>
        </w:rPr>
        <w:t>e</w:t>
      </w:r>
    </w:p>
    <w:p w14:paraId="7C430AE7" w14:textId="77777777" w:rsidR="00142750" w:rsidRPr="00F466B4" w:rsidRDefault="00142750" w:rsidP="00142750">
      <w:pPr>
        <w:pStyle w:val="ListParagraph"/>
        <w:numPr>
          <w:ilvl w:val="0"/>
          <w:numId w:val="22"/>
        </w:numPr>
        <w:spacing w:before="0" w:after="0" w:line="259" w:lineRule="auto"/>
        <w:jc w:val="left"/>
        <w:rPr>
          <w:lang w:eastAsia="en-US"/>
        </w:rPr>
      </w:pPr>
      <w:r>
        <w:rPr>
          <w:lang w:val="en-US" w:eastAsia="en-US"/>
        </w:rPr>
        <w:t>Thermal Coal</w:t>
      </w:r>
    </w:p>
    <w:p w14:paraId="330638DA" w14:textId="77777777" w:rsidR="00142750" w:rsidRPr="00A568DE" w:rsidRDefault="00142750" w:rsidP="00142750">
      <w:pPr>
        <w:pStyle w:val="ListParagraph"/>
        <w:numPr>
          <w:ilvl w:val="1"/>
          <w:numId w:val="22"/>
        </w:numPr>
        <w:spacing w:before="0" w:after="0" w:line="259" w:lineRule="auto"/>
        <w:jc w:val="left"/>
        <w:rPr>
          <w:lang w:val="en-US"/>
        </w:rPr>
      </w:pPr>
      <w:r w:rsidRPr="00F466B4">
        <w:rPr>
          <w:lang w:val="en-US"/>
        </w:rPr>
        <w:t>10% revenues from the exploration mining or refining of thermal coal</w:t>
      </w:r>
    </w:p>
    <w:p w14:paraId="10BFE3A2" w14:textId="77777777" w:rsidR="00142750" w:rsidRPr="00F466B4" w:rsidRDefault="00142750" w:rsidP="00142750">
      <w:pPr>
        <w:pStyle w:val="ListParagraph"/>
        <w:numPr>
          <w:ilvl w:val="1"/>
          <w:numId w:val="22"/>
        </w:numPr>
        <w:spacing w:before="0" w:after="0" w:line="259" w:lineRule="auto"/>
        <w:jc w:val="left"/>
        <w:rPr>
          <w:lang w:val="en-US"/>
        </w:rPr>
      </w:pPr>
      <w:r w:rsidRPr="00F466B4">
        <w:rPr>
          <w:lang w:val="en-US"/>
        </w:rPr>
        <w:t>Companies that base 30% or more of their operations on thermal coal</w:t>
      </w:r>
    </w:p>
    <w:p w14:paraId="2C8C6890" w14:textId="77777777" w:rsidR="00142750" w:rsidRPr="00F466B4" w:rsidRDefault="00142750" w:rsidP="00142750">
      <w:pPr>
        <w:pStyle w:val="ListParagraph"/>
        <w:numPr>
          <w:ilvl w:val="1"/>
          <w:numId w:val="22"/>
        </w:numPr>
        <w:spacing w:before="0" w:after="0" w:line="259" w:lineRule="auto"/>
        <w:jc w:val="left"/>
        <w:rPr>
          <w:lang w:val="en-US"/>
        </w:rPr>
      </w:pPr>
      <w:r w:rsidRPr="00F466B4">
        <w:rPr>
          <w:lang w:val="en-US"/>
        </w:rPr>
        <w:t>Companies that produce &gt;20 million tons of thermal- coal annually and are actively expanding</w:t>
      </w:r>
    </w:p>
    <w:p w14:paraId="21942452" w14:textId="77777777" w:rsidR="00142750" w:rsidRDefault="00142750" w:rsidP="00142750">
      <w:pPr>
        <w:pStyle w:val="ListParagraph"/>
        <w:numPr>
          <w:ilvl w:val="0"/>
          <w:numId w:val="22"/>
        </w:numPr>
        <w:spacing w:before="0" w:after="0" w:line="259" w:lineRule="auto"/>
        <w:jc w:val="left"/>
        <w:rPr>
          <w:lang w:val="en-US"/>
        </w:rPr>
      </w:pPr>
      <w:r>
        <w:rPr>
          <w:lang w:val="en-US"/>
        </w:rPr>
        <w:t>Conventional Oil &amp; Gas</w:t>
      </w:r>
    </w:p>
    <w:p w14:paraId="4B42269E" w14:textId="77777777" w:rsidR="00142750" w:rsidRPr="00F466B4" w:rsidRDefault="00142750" w:rsidP="00142750">
      <w:pPr>
        <w:pStyle w:val="ListParagraph"/>
        <w:numPr>
          <w:ilvl w:val="1"/>
          <w:numId w:val="22"/>
        </w:numPr>
        <w:spacing w:before="0" w:after="0" w:line="259" w:lineRule="auto"/>
        <w:jc w:val="left"/>
        <w:rPr>
          <w:lang w:val="en-US"/>
        </w:rPr>
      </w:pPr>
      <w:r w:rsidRPr="00F466B4">
        <w:rPr>
          <w:lang w:val="en-US"/>
        </w:rPr>
        <w:t>&gt;5% revenue from conventional oil and gas production, including natural gas, petroleum, and crude oil</w:t>
      </w:r>
    </w:p>
    <w:p w14:paraId="43D06A84" w14:textId="77777777" w:rsidR="00142750" w:rsidRDefault="00142750" w:rsidP="00142750">
      <w:pPr>
        <w:pStyle w:val="ListParagraph"/>
        <w:numPr>
          <w:ilvl w:val="1"/>
          <w:numId w:val="22"/>
        </w:numPr>
        <w:spacing w:before="0" w:after="0" w:line="259" w:lineRule="auto"/>
        <w:jc w:val="left"/>
        <w:rPr>
          <w:lang w:val="en-US"/>
        </w:rPr>
      </w:pPr>
      <w:r w:rsidRPr="00F466B4">
        <w:rPr>
          <w:lang w:val="en-US"/>
        </w:rPr>
        <w:t>Companies building or operating pipelines that significantly facilitate export of conventional oil and gas</w:t>
      </w:r>
    </w:p>
    <w:p w14:paraId="2D93321B" w14:textId="77777777" w:rsidR="00142750" w:rsidRPr="00F466B4" w:rsidRDefault="00142750" w:rsidP="00142750">
      <w:pPr>
        <w:pStyle w:val="ListParagraph"/>
        <w:numPr>
          <w:ilvl w:val="0"/>
          <w:numId w:val="22"/>
        </w:numPr>
        <w:spacing w:before="0" w:after="0" w:line="259" w:lineRule="auto"/>
        <w:jc w:val="left"/>
        <w:rPr>
          <w:lang w:val="en-US"/>
        </w:rPr>
      </w:pPr>
      <w:r>
        <w:rPr>
          <w:lang w:val="en-US"/>
        </w:rPr>
        <w:t>Unconventional Oil &amp; Gas</w:t>
      </w:r>
    </w:p>
    <w:p w14:paraId="02F5FBB9" w14:textId="77777777" w:rsidR="00142750" w:rsidRPr="00F466B4" w:rsidRDefault="00142750" w:rsidP="00142750">
      <w:pPr>
        <w:pStyle w:val="ListParagraph"/>
        <w:numPr>
          <w:ilvl w:val="1"/>
          <w:numId w:val="22"/>
        </w:numPr>
        <w:spacing w:before="0" w:after="0" w:line="259" w:lineRule="auto"/>
        <w:jc w:val="left"/>
        <w:rPr>
          <w:lang w:val="en-US"/>
        </w:rPr>
      </w:pPr>
      <w:r w:rsidRPr="00F466B4">
        <w:rPr>
          <w:lang w:val="en-US"/>
        </w:rPr>
        <w:t>&gt;5% revenues from unconventional oil and gas production, including revenues from oil sands, oil shale, shale gas and oil and gas production in the arctic regions</w:t>
      </w:r>
    </w:p>
    <w:p w14:paraId="31C68761" w14:textId="77777777" w:rsidR="00142750" w:rsidRPr="00F466B4" w:rsidRDefault="00142750" w:rsidP="00142750">
      <w:pPr>
        <w:pStyle w:val="ListParagraph"/>
        <w:numPr>
          <w:ilvl w:val="1"/>
          <w:numId w:val="22"/>
        </w:numPr>
        <w:spacing w:before="0" w:after="0" w:line="259" w:lineRule="auto"/>
        <w:jc w:val="left"/>
        <w:rPr>
          <w:lang w:val="en-US"/>
        </w:rPr>
      </w:pPr>
      <w:r w:rsidRPr="00F466B4">
        <w:rPr>
          <w:lang w:val="en-US"/>
        </w:rPr>
        <w:t>Companies building or operating pipelines that significantly facilitate export of unconventional oil and ga</w:t>
      </w:r>
      <w:r>
        <w:rPr>
          <w:lang w:val="en-US"/>
        </w:rPr>
        <w:t>s</w:t>
      </w:r>
    </w:p>
    <w:p w14:paraId="28445D4C" w14:textId="77777777" w:rsidR="00142750" w:rsidRPr="00F466B4" w:rsidRDefault="00142750" w:rsidP="00142750">
      <w:pPr>
        <w:pStyle w:val="ListParagraph"/>
        <w:numPr>
          <w:ilvl w:val="0"/>
          <w:numId w:val="22"/>
        </w:numPr>
        <w:spacing w:before="0" w:after="0" w:line="259" w:lineRule="auto"/>
        <w:jc w:val="left"/>
        <w:rPr>
          <w:lang w:val="en-US"/>
        </w:rPr>
      </w:pPr>
      <w:r>
        <w:rPr>
          <w:lang w:val="en-US" w:eastAsia="en-US"/>
        </w:rPr>
        <w:t>Palm Oil</w:t>
      </w:r>
    </w:p>
    <w:p w14:paraId="61BBFAE8" w14:textId="77777777" w:rsidR="00142750" w:rsidRDefault="00142750" w:rsidP="00142750">
      <w:pPr>
        <w:pStyle w:val="ListParagraph"/>
        <w:numPr>
          <w:ilvl w:val="1"/>
          <w:numId w:val="22"/>
        </w:numPr>
        <w:spacing w:before="0" w:after="0" w:line="259" w:lineRule="auto"/>
        <w:jc w:val="left"/>
        <w:rPr>
          <w:lang w:val="en-US"/>
        </w:rPr>
      </w:pPr>
      <w:r w:rsidRPr="00F466B4">
        <w:rPr>
          <w:lang w:val="en-US"/>
        </w:rPr>
        <w:t>Companies that are involved in systematic unsustainable palm oil production</w:t>
      </w:r>
    </w:p>
    <w:p w14:paraId="03958F5F" w14:textId="77777777" w:rsidR="00142750" w:rsidRPr="00F466B4" w:rsidRDefault="00142750" w:rsidP="00142750">
      <w:pPr>
        <w:pStyle w:val="ListParagraph"/>
        <w:numPr>
          <w:ilvl w:val="0"/>
          <w:numId w:val="22"/>
        </w:numPr>
        <w:spacing w:before="0" w:after="0" w:line="259" w:lineRule="auto"/>
        <w:jc w:val="left"/>
        <w:rPr>
          <w:lang w:val="en-US"/>
        </w:rPr>
      </w:pPr>
      <w:r>
        <w:rPr>
          <w:lang w:val="en-US"/>
        </w:rPr>
        <w:t>Prisons</w:t>
      </w:r>
    </w:p>
    <w:p w14:paraId="1BA9D102" w14:textId="77777777" w:rsidR="00142750" w:rsidRDefault="00142750" w:rsidP="00142750">
      <w:pPr>
        <w:pStyle w:val="ListParagraph"/>
        <w:numPr>
          <w:ilvl w:val="1"/>
          <w:numId w:val="22"/>
        </w:numPr>
        <w:spacing w:before="0" w:after="0" w:line="259" w:lineRule="auto"/>
        <w:jc w:val="left"/>
        <w:rPr>
          <w:lang w:val="en-US"/>
        </w:rPr>
      </w:pPr>
      <w:r w:rsidRPr="00F466B4">
        <w:rPr>
          <w:lang w:val="en-US"/>
        </w:rPr>
        <w:t>Private companies that are involved in management or ownership of prisons</w:t>
      </w:r>
    </w:p>
    <w:p w14:paraId="5CC3F49E" w14:textId="77777777" w:rsidR="00142750" w:rsidRPr="00F466B4" w:rsidRDefault="00142750" w:rsidP="00142750">
      <w:pPr>
        <w:pStyle w:val="ListParagraph"/>
        <w:numPr>
          <w:ilvl w:val="0"/>
          <w:numId w:val="22"/>
        </w:numPr>
        <w:spacing w:before="0" w:after="0" w:line="259" w:lineRule="auto"/>
        <w:jc w:val="left"/>
        <w:rPr>
          <w:lang w:val="en-US"/>
        </w:rPr>
      </w:pPr>
      <w:r>
        <w:rPr>
          <w:lang w:val="en-US"/>
        </w:rPr>
        <w:t>Adult Entertainment</w:t>
      </w:r>
    </w:p>
    <w:p w14:paraId="648C48C2" w14:textId="77777777" w:rsidR="00142750" w:rsidRPr="00F466B4" w:rsidRDefault="00142750" w:rsidP="00142750">
      <w:pPr>
        <w:pStyle w:val="ListParagraph"/>
        <w:numPr>
          <w:ilvl w:val="1"/>
          <w:numId w:val="22"/>
        </w:numPr>
        <w:spacing w:before="0" w:after="0" w:line="259" w:lineRule="auto"/>
        <w:jc w:val="left"/>
        <w:rPr>
          <w:lang w:val="en-US"/>
        </w:rPr>
      </w:pPr>
      <w:r w:rsidRPr="00F466B4">
        <w:rPr>
          <w:lang w:val="en-US"/>
        </w:rPr>
        <w:t>&gt;0% revenue from production of adult entertainment</w:t>
      </w:r>
    </w:p>
    <w:p w14:paraId="74D021E0" w14:textId="77777777" w:rsidR="00142750" w:rsidRPr="00F466B4" w:rsidRDefault="00142750" w:rsidP="00142750">
      <w:pPr>
        <w:pStyle w:val="ListParagraph"/>
        <w:numPr>
          <w:ilvl w:val="1"/>
          <w:numId w:val="22"/>
        </w:numPr>
        <w:spacing w:before="0" w:after="0" w:line="259" w:lineRule="auto"/>
        <w:jc w:val="left"/>
        <w:rPr>
          <w:lang w:val="en-US"/>
        </w:rPr>
      </w:pPr>
      <w:r w:rsidRPr="00F466B4">
        <w:rPr>
          <w:lang w:val="en-US"/>
        </w:rPr>
        <w:t>&gt;5% revenues from the distribution of adult entertainment</w:t>
      </w:r>
    </w:p>
    <w:p w14:paraId="6FB081B0" w14:textId="77777777" w:rsidR="00142750" w:rsidRPr="00F466B4" w:rsidRDefault="00142750" w:rsidP="00142750">
      <w:pPr>
        <w:pStyle w:val="ListParagraph"/>
        <w:numPr>
          <w:ilvl w:val="0"/>
          <w:numId w:val="22"/>
        </w:numPr>
        <w:spacing w:before="0" w:after="0" w:line="259" w:lineRule="auto"/>
        <w:jc w:val="left"/>
        <w:rPr>
          <w:lang w:val="en-US"/>
        </w:rPr>
      </w:pPr>
      <w:r>
        <w:rPr>
          <w:lang w:val="en-US" w:eastAsia="en-US"/>
        </w:rPr>
        <w:t>Recreational Cannabis &amp; Tobacco</w:t>
      </w:r>
    </w:p>
    <w:p w14:paraId="616C2BC1" w14:textId="77777777" w:rsidR="00142750" w:rsidRPr="00F466B4" w:rsidRDefault="00142750" w:rsidP="00142750">
      <w:pPr>
        <w:pStyle w:val="ListParagraph"/>
        <w:numPr>
          <w:ilvl w:val="1"/>
          <w:numId w:val="22"/>
        </w:numPr>
        <w:spacing w:before="0" w:after="0" w:line="259" w:lineRule="auto"/>
        <w:jc w:val="left"/>
        <w:rPr>
          <w:lang w:val="en-US"/>
        </w:rPr>
      </w:pPr>
      <w:r w:rsidRPr="00F466B4">
        <w:rPr>
          <w:lang w:val="en-US"/>
        </w:rPr>
        <w:t>&gt;5% revenues from recreational cannabis</w:t>
      </w:r>
    </w:p>
    <w:p w14:paraId="0DD77DD5" w14:textId="77777777" w:rsidR="00142750" w:rsidRPr="00F466B4" w:rsidRDefault="00142750" w:rsidP="00142750">
      <w:pPr>
        <w:pStyle w:val="ListParagraph"/>
        <w:numPr>
          <w:ilvl w:val="1"/>
          <w:numId w:val="22"/>
        </w:numPr>
        <w:spacing w:before="0" w:after="0" w:line="259" w:lineRule="auto"/>
        <w:jc w:val="left"/>
        <w:rPr>
          <w:lang w:val="en-US"/>
        </w:rPr>
      </w:pPr>
      <w:r w:rsidRPr="00F466B4">
        <w:rPr>
          <w:lang w:val="en-US"/>
        </w:rPr>
        <w:t>&gt;0% revenues from tobacco manufacturing</w:t>
      </w:r>
    </w:p>
    <w:p w14:paraId="1F030B61" w14:textId="77777777" w:rsidR="00142750" w:rsidRDefault="00142750" w:rsidP="00142750">
      <w:pPr>
        <w:pStyle w:val="ListParagraph"/>
        <w:numPr>
          <w:ilvl w:val="1"/>
          <w:numId w:val="22"/>
        </w:numPr>
        <w:spacing w:before="0" w:after="0" w:line="259" w:lineRule="auto"/>
        <w:jc w:val="left"/>
        <w:rPr>
          <w:lang w:val="en-US"/>
        </w:rPr>
      </w:pPr>
      <w:r w:rsidRPr="00F466B4">
        <w:rPr>
          <w:lang w:val="en-US"/>
        </w:rPr>
        <w:t>&gt;5% revenue from tobacco distribution and/or sale of tobacco products</w:t>
      </w:r>
    </w:p>
    <w:p w14:paraId="52D84827" w14:textId="77777777" w:rsidR="00142750" w:rsidRPr="00F466B4" w:rsidRDefault="00142750" w:rsidP="00142750">
      <w:pPr>
        <w:pStyle w:val="ListParagraph"/>
        <w:numPr>
          <w:ilvl w:val="0"/>
          <w:numId w:val="22"/>
        </w:numPr>
        <w:spacing w:before="0" w:after="0" w:line="259" w:lineRule="auto"/>
        <w:jc w:val="left"/>
        <w:rPr>
          <w:lang w:val="en-US"/>
        </w:rPr>
      </w:pPr>
      <w:r>
        <w:rPr>
          <w:lang w:val="en-US"/>
        </w:rPr>
        <w:t>Alcohol</w:t>
      </w:r>
    </w:p>
    <w:p w14:paraId="4E54D7AF" w14:textId="77777777" w:rsidR="00142750" w:rsidRPr="00F466B4" w:rsidRDefault="00142750" w:rsidP="00142750">
      <w:pPr>
        <w:pStyle w:val="ListParagraph"/>
        <w:numPr>
          <w:ilvl w:val="1"/>
          <w:numId w:val="22"/>
        </w:numPr>
        <w:spacing w:before="0" w:after="0" w:line="259" w:lineRule="auto"/>
        <w:jc w:val="left"/>
        <w:rPr>
          <w:lang w:val="en-US"/>
        </w:rPr>
      </w:pPr>
      <w:r w:rsidRPr="00F466B4">
        <w:rPr>
          <w:lang w:val="en-US"/>
        </w:rPr>
        <w:t>&gt;0% revenues from the production of alcoholic beverages including ingredients solely used in alcoholic beverages</w:t>
      </w:r>
    </w:p>
    <w:p w14:paraId="27E33469" w14:textId="77777777" w:rsidR="00142750" w:rsidRDefault="00142750" w:rsidP="00142750">
      <w:pPr>
        <w:pStyle w:val="ListParagraph"/>
        <w:numPr>
          <w:ilvl w:val="1"/>
          <w:numId w:val="22"/>
        </w:numPr>
        <w:spacing w:before="0" w:after="0" w:line="259" w:lineRule="auto"/>
        <w:jc w:val="left"/>
        <w:rPr>
          <w:lang w:val="en-US"/>
        </w:rPr>
      </w:pPr>
      <w:r w:rsidRPr="00F466B4">
        <w:rPr>
          <w:lang w:val="en-US"/>
        </w:rPr>
        <w:t>&gt;5% revenues from the distribution of alcoholic beverages or alcoholic related services</w:t>
      </w:r>
    </w:p>
    <w:p w14:paraId="525E5FD5" w14:textId="77777777" w:rsidR="00142750" w:rsidRPr="00F466B4" w:rsidRDefault="00142750" w:rsidP="00142750">
      <w:pPr>
        <w:pStyle w:val="ListParagraph"/>
        <w:numPr>
          <w:ilvl w:val="0"/>
          <w:numId w:val="22"/>
        </w:numPr>
        <w:spacing w:before="0" w:after="0" w:line="259" w:lineRule="auto"/>
        <w:jc w:val="left"/>
        <w:rPr>
          <w:lang w:val="en-US"/>
        </w:rPr>
      </w:pPr>
      <w:r>
        <w:rPr>
          <w:lang w:val="en-US"/>
        </w:rPr>
        <w:t>Gambling</w:t>
      </w:r>
    </w:p>
    <w:p w14:paraId="098F575B" w14:textId="77777777" w:rsidR="00142750" w:rsidRPr="00F466B4" w:rsidRDefault="00142750" w:rsidP="00142750">
      <w:pPr>
        <w:pStyle w:val="ListParagraph"/>
        <w:numPr>
          <w:ilvl w:val="1"/>
          <w:numId w:val="22"/>
        </w:numPr>
        <w:spacing w:before="0" w:after="0" w:line="259" w:lineRule="auto"/>
        <w:jc w:val="left"/>
        <w:rPr>
          <w:lang w:val="en-US"/>
        </w:rPr>
      </w:pPr>
      <w:r w:rsidRPr="00F466B4">
        <w:rPr>
          <w:lang w:val="en-US"/>
        </w:rPr>
        <w:t>&gt;0% revenues from owning or operating gambling establishments</w:t>
      </w:r>
    </w:p>
    <w:p w14:paraId="5B1703E4" w14:textId="77777777" w:rsidR="00142750" w:rsidRPr="00F466B4" w:rsidRDefault="00142750" w:rsidP="00142750">
      <w:pPr>
        <w:pStyle w:val="ListParagraph"/>
        <w:numPr>
          <w:ilvl w:val="1"/>
          <w:numId w:val="22"/>
        </w:numPr>
        <w:spacing w:before="0" w:after="0" w:line="259" w:lineRule="auto"/>
        <w:jc w:val="left"/>
        <w:rPr>
          <w:lang w:val="en-US"/>
        </w:rPr>
      </w:pPr>
      <w:r w:rsidRPr="00F466B4">
        <w:rPr>
          <w:lang w:val="en-US"/>
        </w:rPr>
        <w:t>&gt;5% revenues from providing supporting products/services to gambling operations</w:t>
      </w:r>
    </w:p>
    <w:p w14:paraId="1CFD26C2" w14:textId="77777777" w:rsidR="00142750" w:rsidRPr="00F466B4" w:rsidRDefault="00142750" w:rsidP="00142750">
      <w:pPr>
        <w:pStyle w:val="ListParagraph"/>
        <w:numPr>
          <w:ilvl w:val="1"/>
          <w:numId w:val="22"/>
        </w:numPr>
        <w:spacing w:before="0" w:after="0" w:line="259" w:lineRule="auto"/>
        <w:jc w:val="left"/>
        <w:rPr>
          <w:lang w:val="en-US"/>
        </w:rPr>
      </w:pPr>
      <w:r w:rsidRPr="00F466B4">
        <w:rPr>
          <w:lang w:val="en-US"/>
        </w:rPr>
        <w:t>&gt;5% revenues from manufacturing specialized equipment used exclusively for gambling</w:t>
      </w:r>
    </w:p>
    <w:p w14:paraId="269CBF59" w14:textId="2D74A09F" w:rsidR="00142750" w:rsidRDefault="00142750" w:rsidP="00142750">
      <w:pPr>
        <w:spacing w:before="0" w:after="160" w:line="259" w:lineRule="auto"/>
        <w:rPr>
          <w:lang w:val="en-US" w:eastAsia="en-US"/>
        </w:rPr>
      </w:pPr>
      <w:r w:rsidRPr="00D15B8D">
        <w:rPr>
          <w:lang w:val="en-US" w:eastAsia="en-US"/>
        </w:rPr>
        <w:lastRenderedPageBreak/>
        <w:t>All companies violating any of the exclusion criteria above are excluded. All companies for which an evaluation of these exclusion criteria is not possible due to insufficient and/or missing information or data are excluded.</w:t>
      </w:r>
    </w:p>
    <w:p w14:paraId="0F1A54F7" w14:textId="0D1006BD" w:rsidR="00A03563" w:rsidRDefault="00A03563" w:rsidP="00142750">
      <w:pPr>
        <w:spacing w:before="0" w:after="160" w:line="259" w:lineRule="auto"/>
        <w:rPr>
          <w:lang w:val="en-US" w:eastAsia="en-US"/>
        </w:rPr>
      </w:pPr>
      <w:r>
        <w:rPr>
          <w:lang w:val="en-US" w:eastAsia="en-US"/>
        </w:rPr>
        <w:t>(…)</w:t>
      </w:r>
    </w:p>
    <w:p w14:paraId="2C983349" w14:textId="77777777" w:rsidR="00A03563" w:rsidRDefault="00A03563" w:rsidP="00A03563">
      <w:pPr>
        <w:rPr>
          <w:rStyle w:val="Hyperlink"/>
          <w:lang w:val="en-US"/>
        </w:rPr>
      </w:pPr>
      <w:r w:rsidRPr="00A327AE">
        <w:rPr>
          <w:rFonts w:ascii="Flama Semicondensed Medium" w:hAnsi="Flama Semicondensed Medium"/>
          <w:lang w:val="en-US"/>
        </w:rPr>
        <w:t>“</w:t>
      </w:r>
      <w:r>
        <w:rPr>
          <w:rFonts w:ascii="Flama Semicondensed Medium" w:hAnsi="Flama Semicondensed Medium"/>
          <w:lang w:val="en-US"/>
        </w:rPr>
        <w:t xml:space="preserve">ESG </w:t>
      </w:r>
      <w:r>
        <w:rPr>
          <w:rFonts w:ascii="Flama Semicondensed Medium" w:hAnsi="Flama Semicondensed Medium"/>
          <w:smallCaps/>
          <w:lang w:val="en-US"/>
        </w:rPr>
        <w:t>Data Provider</w:t>
      </w:r>
      <w:r w:rsidRPr="00A327AE">
        <w:rPr>
          <w:rFonts w:ascii="Flama Semicondensed Medium" w:hAnsi="Flama Semicondensed Medium"/>
          <w:lang w:val="en-US"/>
        </w:rPr>
        <w:t>”</w:t>
      </w:r>
      <w:r w:rsidRPr="00B76E0B">
        <w:rPr>
          <w:lang w:val="en-US"/>
        </w:rPr>
        <w:t xml:space="preserve"> </w:t>
      </w:r>
      <w:r>
        <w:rPr>
          <w:lang w:val="en-US"/>
        </w:rPr>
        <w:t xml:space="preserve">is </w:t>
      </w:r>
      <w:r w:rsidRPr="003B5B8F">
        <w:rPr>
          <w:lang w:val="en-US"/>
        </w:rPr>
        <w:t>Minerva Analytics Ltd</w:t>
      </w:r>
      <w:r>
        <w:rPr>
          <w:lang w:val="en-US"/>
        </w:rPr>
        <w:t xml:space="preserve">. For more information, </w:t>
      </w:r>
      <w:r w:rsidRPr="00C554CC">
        <w:rPr>
          <w:lang w:val="en-US"/>
        </w:rPr>
        <w:t xml:space="preserve">please visit: </w:t>
      </w:r>
      <w:hyperlink r:id="rId11" w:history="1">
        <w:r w:rsidRPr="005A66A9">
          <w:rPr>
            <w:rStyle w:val="Hyperlink"/>
            <w:lang w:val="en-GB" w:eastAsia="en-US"/>
          </w:rPr>
          <w:t>www.minerva.info</w:t>
        </w:r>
        <w:r w:rsidRPr="005A66A9">
          <w:rPr>
            <w:rStyle w:val="Hyperlink"/>
            <w:lang w:val="en-US"/>
          </w:rPr>
          <w:t>.</w:t>
        </w:r>
      </w:hyperlink>
    </w:p>
    <w:p w14:paraId="204A4F9B" w14:textId="1777C9FD" w:rsidR="00A03563" w:rsidRPr="00A03563" w:rsidRDefault="00A03563" w:rsidP="00142750">
      <w:pPr>
        <w:spacing w:before="0" w:after="160" w:line="259" w:lineRule="auto"/>
        <w:rPr>
          <w:lang w:val="en-US" w:eastAsia="en-US"/>
        </w:rPr>
      </w:pPr>
      <w:r>
        <w:rPr>
          <w:lang w:val="en-US" w:eastAsia="en-US"/>
        </w:rPr>
        <w:t>(…)</w:t>
      </w: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7C48B1D3"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the</w:t>
      </w:r>
      <w:r w:rsidR="00101D83">
        <w:rPr>
          <w:lang w:val="en-US"/>
        </w:rPr>
        <w:t xml:space="preserve"> Solactive AgTech &amp; Food Innovation Index v2</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2DFBF102"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142750">
        <w:rPr>
          <w:lang w:val="en-US"/>
        </w:rPr>
        <w:t xml:space="preserve"> October 20, 2023</w:t>
      </w:r>
      <w:r w:rsidR="00FD2680">
        <w:rPr>
          <w:lang w:val="en-US"/>
        </w:rPr>
        <w:t>.</w:t>
      </w:r>
    </w:p>
    <w:p w14:paraId="741A56A5" w14:textId="23F862F9"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t xml:space="preserve">above are intended to </w:t>
      </w:r>
      <w:r w:rsidRPr="00FE1081">
        <w:rPr>
          <w:lang w:val="en-US"/>
        </w:rPr>
        <w:t>become effective on</w:t>
      </w:r>
      <w:r w:rsidR="00142750">
        <w:t xml:space="preserve"> November 3, 2023</w:t>
      </w:r>
      <w:r w:rsidR="004819FA">
        <w:t>.</w:t>
      </w:r>
    </w:p>
    <w:p w14:paraId="0D223365" w14:textId="77777777" w:rsidR="00651886" w:rsidRPr="00C04273" w:rsidRDefault="00651886" w:rsidP="005055F5">
      <w:pPr>
        <w:spacing w:before="0" w:after="0" w:line="360" w:lineRule="auto"/>
        <w:rPr>
          <w:lang w:val="en-US"/>
        </w:rPr>
      </w:pPr>
    </w:p>
    <w:p w14:paraId="04131284" w14:textId="3C27E90F"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2"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142750">
        <w:rPr>
          <w:lang w:val="en-US"/>
        </w:rPr>
        <w:t>- Solactive AgTech &amp; Food Innovation Index v2</w:t>
      </w:r>
      <w:r w:rsidR="0026131F">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CAE5BDC" w14:textId="77777777" w:rsidR="003136B2" w:rsidRDefault="003136B2" w:rsidP="00753C1C">
      <w:pPr>
        <w:spacing w:after="0"/>
        <w:rPr>
          <w:lang w:val="en-US"/>
        </w:rPr>
      </w:pPr>
    </w:p>
    <w:p w14:paraId="557D08FA" w14:textId="77777777" w:rsidR="003136B2" w:rsidRDefault="003136B2" w:rsidP="00753C1C">
      <w:pPr>
        <w:spacing w:after="0"/>
        <w:rPr>
          <w:lang w:val="en-US"/>
        </w:rPr>
      </w:pPr>
    </w:p>
    <w:p w14:paraId="0034008D" w14:textId="13CCFDF4" w:rsidR="00753C1C" w:rsidRPr="00C04273" w:rsidRDefault="00753C1C" w:rsidP="003D0D25">
      <w:pPr>
        <w:spacing w:after="0"/>
        <w:ind w:left="1416" w:firstLine="708"/>
      </w:pPr>
    </w:p>
    <w:bookmarkEnd w:id="0"/>
    <w:p w14:paraId="23355C88" w14:textId="1F09550F" w:rsidR="00572562" w:rsidRPr="00572562" w:rsidRDefault="00D7148C" w:rsidP="0063592D">
      <w:pPr>
        <w:rPr>
          <w:color w:val="FFFFFF" w:themeColor="background1"/>
          <w:lang w:val="en-US"/>
        </w:rPr>
      </w:pPr>
      <w:r w:rsidRPr="00572562">
        <w:rPr>
          <w:noProof/>
          <w:color w:val="FFFFFF" w:themeColor="background1"/>
          <w:lang w:val="en-US" w:eastAsia="en-US"/>
        </w:rPr>
        <w:lastRenderedPageBreak/>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r w:rsidR="00E530BC">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3"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4"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5"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6"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7"/>
      <w:headerReference w:type="default" r:id="rId18"/>
      <w:footerReference w:type="even" r:id="rId19"/>
      <w:footerReference w:type="default" r:id="rId20"/>
      <w:headerReference w:type="first" r:id="rId21"/>
      <w:footerReference w:type="first" r:id="rId22"/>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D9CE5E2-2F14-4BF8-9D0A-E5A97BCAF034}"/>
  </w:font>
  <w:font w:name="Flama Semicondensed Light">
    <w:panose1 w:val="02000000000000000000"/>
    <w:charset w:val="00"/>
    <w:family w:val="auto"/>
    <w:pitch w:val="variable"/>
    <w:sig w:usb0="A00000AF" w:usb1="4000207B" w:usb2="00000000" w:usb3="00000000" w:csb0="0000008B" w:csb1="00000000"/>
    <w:embedRegular r:id="rId2" w:fontKey="{17886EBA-3CB9-4945-A0C5-2EBC86D609EE}"/>
    <w:embedBold r:id="rId3" w:fontKey="{F90BDE89-DAAD-477B-94EE-8FB2EE987CF3}"/>
    <w:embedItalic r:id="rId4" w:fontKey="{ED2E1CEB-F178-4744-BB57-0F7D393CCD20}"/>
  </w:font>
  <w:font w:name="Segoe UI">
    <w:panose1 w:val="020B0502040204020203"/>
    <w:charset w:val="00"/>
    <w:family w:val="swiss"/>
    <w:pitch w:val="variable"/>
    <w:sig w:usb0="E4002EFF" w:usb1="C000E47F" w:usb2="00000009" w:usb3="00000000" w:csb0="000001FF" w:csb1="00000000"/>
    <w:embedRegular r:id="rId5" w:fontKey="{EF3BE6A2-78F8-4053-8789-19525C51185F}"/>
  </w:font>
  <w:font w:name="Flama Semicondensed Medium">
    <w:panose1 w:val="02000000000000000000"/>
    <w:charset w:val="00"/>
    <w:family w:val="auto"/>
    <w:pitch w:val="variable"/>
    <w:sig w:usb0="A00000AF" w:usb1="4000207B" w:usb2="00000000" w:usb3="00000000" w:csb0="0000008B" w:csb1="00000000"/>
    <w:embedRegular r:id="rId6" w:fontKey="{3034F5C2-8FBE-4442-B921-7DBAADF675D7}"/>
    <w:embedBold r:id="rId7" w:fontKey="{4FB60F04-2435-45BC-8EE0-FE09A02E3565}"/>
  </w:font>
  <w:font w:name="SEB Basic">
    <w:altName w:val="Calibri"/>
    <w:panose1 w:val="00000000000000000000"/>
    <w:charset w:val="00"/>
    <w:family w:val="modern"/>
    <w:notTrueType/>
    <w:pitch w:val="variable"/>
    <w:sig w:usb0="A00002AF" w:usb1="4000206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5EBC015A-D48B-4BC9-A3CE-4AAA8C4D5F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4AA60BE0"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142750">
          <w:rPr>
            <w:lang w:val="en-US"/>
          </w:rPr>
          <w:t>Market Consultation- Solactive Agtech &amp; Food Innovation Index v2</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0EE778D"/>
    <w:multiLevelType w:val="hybridMultilevel"/>
    <w:tmpl w:val="A9E65F5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260235">
    <w:abstractNumId w:val="5"/>
  </w:num>
  <w:num w:numId="2" w16cid:durableId="1840776654">
    <w:abstractNumId w:val="6"/>
  </w:num>
  <w:num w:numId="3" w16cid:durableId="2124761935">
    <w:abstractNumId w:val="16"/>
  </w:num>
  <w:num w:numId="4" w16cid:durableId="274949183">
    <w:abstractNumId w:val="20"/>
  </w:num>
  <w:num w:numId="5" w16cid:durableId="485442117">
    <w:abstractNumId w:val="15"/>
  </w:num>
  <w:num w:numId="6" w16cid:durableId="1820879253">
    <w:abstractNumId w:val="7"/>
  </w:num>
  <w:num w:numId="7" w16cid:durableId="1086804163">
    <w:abstractNumId w:val="19"/>
  </w:num>
  <w:num w:numId="8" w16cid:durableId="1253396161">
    <w:abstractNumId w:val="3"/>
  </w:num>
  <w:num w:numId="9" w16cid:durableId="2039430531">
    <w:abstractNumId w:val="12"/>
  </w:num>
  <w:num w:numId="10" w16cid:durableId="175584651">
    <w:abstractNumId w:val="11"/>
  </w:num>
  <w:num w:numId="11" w16cid:durableId="138108456">
    <w:abstractNumId w:val="2"/>
  </w:num>
  <w:num w:numId="12" w16cid:durableId="1560290581">
    <w:abstractNumId w:val="1"/>
  </w:num>
  <w:num w:numId="13" w16cid:durableId="933510332">
    <w:abstractNumId w:val="14"/>
  </w:num>
  <w:num w:numId="14" w16cid:durableId="1224755933">
    <w:abstractNumId w:val="9"/>
  </w:num>
  <w:num w:numId="15" w16cid:durableId="284778418">
    <w:abstractNumId w:val="4"/>
  </w:num>
  <w:num w:numId="16" w16cid:durableId="272442106">
    <w:abstractNumId w:val="10"/>
  </w:num>
  <w:num w:numId="17" w16cid:durableId="615256505">
    <w:abstractNumId w:val="21"/>
  </w:num>
  <w:num w:numId="18" w16cid:durableId="1512376180">
    <w:abstractNumId w:val="8"/>
  </w:num>
  <w:num w:numId="19" w16cid:durableId="1908345995">
    <w:abstractNumId w:val="17"/>
  </w:num>
  <w:num w:numId="20" w16cid:durableId="784812645">
    <w:abstractNumId w:val="18"/>
  </w:num>
  <w:num w:numId="21" w16cid:durableId="2013601338">
    <w:abstractNumId w:val="0"/>
  </w:num>
  <w:num w:numId="22" w16cid:durableId="1594729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1D83"/>
    <w:rsid w:val="0010358C"/>
    <w:rsid w:val="00110CA0"/>
    <w:rsid w:val="00113086"/>
    <w:rsid w:val="00123CB9"/>
    <w:rsid w:val="00124B71"/>
    <w:rsid w:val="00133435"/>
    <w:rsid w:val="00135E34"/>
    <w:rsid w:val="00142750"/>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4442B"/>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36B2"/>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03563"/>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E135E"/>
    <w:rsid w:val="00AF0FFD"/>
    <w:rsid w:val="00AF46AF"/>
    <w:rsid w:val="00B01B34"/>
    <w:rsid w:val="00B04ABF"/>
    <w:rsid w:val="00B1629F"/>
    <w:rsid w:val="00B210BC"/>
    <w:rsid w:val="00B261BE"/>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268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563"/>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101D83"/>
    <w:pPr>
      <w:spacing w:after="0" w:line="240" w:lineRule="auto"/>
    </w:pPr>
    <w:rPr>
      <w:rFonts w:ascii="Flama Semicondensed Light" w:eastAsia="Times New Roman" w:hAnsi="Flama Semicondensed Light" w:cs="Times New Roman"/>
      <w:sz w:val="24"/>
      <w:szCs w:val="24"/>
      <w:lang w:eastAsia="de-DE"/>
    </w:rPr>
  </w:style>
  <w:style w:type="table" w:styleId="TableGrid">
    <w:name w:val="Table Grid"/>
    <w:basedOn w:val="TableNormal"/>
    <w:uiPriority w:val="39"/>
    <w:rsid w:val="00B261BE"/>
    <w:pPr>
      <w:spacing w:after="0" w:line="240" w:lineRule="auto"/>
    </w:pPr>
    <w:rPr>
      <w:rFonts w:ascii="SEB Basic" w:eastAsia="MS Mincho" w:hAnsi="SEB Basic"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_puce2 Char,Puce Char"/>
    <w:basedOn w:val="DefaultParagraphFont"/>
    <w:link w:val="ListParagraph"/>
    <w:uiPriority w:val="34"/>
    <w:rsid w:val="00142750"/>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marketconsultation@solactive.com"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nerva.info/"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info@solactive.com" TargetMode="External"/><Relationship Id="rId23" Type="http://schemas.openxmlformats.org/officeDocument/2006/relationships/fontTable" Target="fontTable.xml"/><Relationship Id="rId10" Type="http://schemas.openxmlformats.org/officeDocument/2006/relationships/image" Target="media/image6.sv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SEB Basic">
    <w:altName w:val="Calibri"/>
    <w:panose1 w:val="00000000000000000000"/>
    <w:charset w:val="00"/>
    <w:family w:val="modern"/>
    <w:notTrueType/>
    <w:pitch w:val="variable"/>
    <w:sig w:usb0="A00002AF" w:usb1="4000206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2023-10-06T00:00:00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6</Pages>
  <Words>839</Words>
  <Characters>4786</Characters>
  <Application>Microsoft Office Word</Application>
  <DocSecurity>0</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Agtech &amp; Food Innovation Index v2</dc:title>
  <dc:subject>Calculation Documents &amp; Methodologies</dc:subject>
  <dc:creator>Solactive AG</dc:creator>
  <cp:keywords/>
  <dc:description/>
  <cp:lastModifiedBy>Raveendran, Tharsan</cp:lastModifiedBy>
  <cp:revision>21</cp:revision>
  <cp:lastPrinted>2023-10-06T14:47:00Z</cp:lastPrinted>
  <dcterms:created xsi:type="dcterms:W3CDTF">2021-11-16T06:38:00Z</dcterms:created>
  <dcterms:modified xsi:type="dcterms:W3CDTF">2023-10-06T14:53:00Z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