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12E3B83E" w:rsidR="0092193A" w:rsidRPr="0097651D" w:rsidRDefault="008E2BAE" w:rsidP="0092193A">
              <w:pPr>
                <w:pStyle w:val="Title"/>
                <w:rPr>
                  <w:lang w:val="en-US"/>
                </w:rPr>
              </w:pPr>
              <w:r w:rsidRPr="008E2BAE">
                <w:rPr>
                  <w:color w:val="FFFFFF" w:themeColor="background1"/>
                  <w:lang w:val="en-US"/>
                </w:rPr>
                <w:t>Market Consultation | RAFI Value Factor Developed Eurozone Fossil Fuels Cappe</w:t>
              </w:r>
              <w:r w:rsidR="00CF5A75">
                <w:rPr>
                  <w:color w:val="FFFFFF" w:themeColor="background1"/>
                  <w:lang w:val="en-US"/>
                </w:rPr>
                <w:t>d</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0722344A" w:rsidR="00466905" w:rsidRPr="00D902A1" w:rsidRDefault="00805B4F"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01-25T00:00:00Z">
                                      <w:dateFormat w:val="dd MMMM yyyy"/>
                                      <w:lid w:val="en-GB"/>
                                      <w:storeMappedDataAs w:val="dateTime"/>
                                      <w:calendar w:val="gregorian"/>
                                    </w:date>
                                  </w:sdtPr>
                                  <w:sdtEndPr/>
                                  <w:sdtContent>
                                    <w:r w:rsidR="008E2BAE">
                                      <w:rPr>
                                        <w:color w:val="FFFFFF" w:themeColor="background1"/>
                                        <w:sz w:val="26"/>
                                        <w:szCs w:val="26"/>
                                        <w:lang w:val="en-GB"/>
                                      </w:rPr>
                                      <w:t>25 January 2022</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0722344A" w:rsidR="00466905" w:rsidRPr="00D902A1" w:rsidRDefault="00805B4F"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01-25T00:00:00Z">
                                <w:dateFormat w:val="dd MMMM yyyy"/>
                                <w:lid w:val="en-GB"/>
                                <w:storeMappedDataAs w:val="dateTime"/>
                                <w:calendar w:val="gregorian"/>
                              </w:date>
                            </w:sdtPr>
                            <w:sdtEndPr/>
                            <w:sdtContent>
                              <w:r w:rsidR="008E2BAE">
                                <w:rPr>
                                  <w:color w:val="FFFFFF" w:themeColor="background1"/>
                                  <w:sz w:val="26"/>
                                  <w:szCs w:val="26"/>
                                  <w:lang w:val="en-GB"/>
                                </w:rPr>
                                <w:t>25 January 2022</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7AF10928" w:rsidR="00E05994" w:rsidRPr="008E2BAE" w:rsidRDefault="002663E0" w:rsidP="00E05994">
      <w:pPr>
        <w:spacing w:before="0" w:after="160" w:line="259" w:lineRule="auto"/>
        <w:rPr>
          <w:lang w:val="en-GB"/>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A97E61" w:rsidRPr="008E2BAE">
        <w:rPr>
          <w:lang w:val="en-GB"/>
        </w:rPr>
        <w:t>Ind</w:t>
      </w:r>
      <w:r w:rsidR="00E05994" w:rsidRPr="008E2BAE">
        <w:rPr>
          <w:lang w:val="en-GB"/>
        </w:rPr>
        <w:t>ices (the ‘</w:t>
      </w:r>
      <w:r w:rsidR="00A97E61" w:rsidRPr="008E2BAE">
        <w:rPr>
          <w:lang w:val="en-GB"/>
        </w:rPr>
        <w:t>Ind</w:t>
      </w:r>
      <w:r w:rsidR="00E05994" w:rsidRPr="008E2BAE">
        <w:rPr>
          <w:lang w:val="en-GB"/>
        </w:rPr>
        <w:t>ices’):</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8E2BAE" w:rsidRPr="00526D2B" w14:paraId="65CC0C87" w14:textId="77777777" w:rsidTr="008E2BAE">
        <w:trPr>
          <w:trHeight w:val="201"/>
        </w:trPr>
        <w:tc>
          <w:tcPr>
            <w:tcW w:w="6227" w:type="dxa"/>
            <w:tcBorders>
              <w:top w:val="nil"/>
              <w:left w:val="single" w:sz="8" w:space="0" w:color="auto"/>
              <w:bottom w:val="single" w:sz="4" w:space="0" w:color="auto"/>
              <w:right w:val="single" w:sz="8" w:space="0" w:color="auto"/>
            </w:tcBorders>
            <w:shd w:val="clear" w:color="auto" w:fill="auto"/>
            <w:noWrap/>
            <w:tcMar>
              <w:top w:w="0" w:type="dxa"/>
              <w:left w:w="70" w:type="dxa"/>
              <w:bottom w:w="0" w:type="dxa"/>
              <w:right w:w="70" w:type="dxa"/>
            </w:tcMar>
            <w:vAlign w:val="bottom"/>
          </w:tcPr>
          <w:p w14:paraId="1B82FD46" w14:textId="77777777" w:rsidR="008E2BAE" w:rsidRPr="008E2BAE" w:rsidRDefault="008E2BAE" w:rsidP="008E2BAE">
            <w:pPr>
              <w:spacing w:line="256" w:lineRule="auto"/>
              <w:rPr>
                <w:rFonts w:eastAsia="Calibri"/>
                <w:color w:val="000000"/>
                <w:sz w:val="22"/>
                <w:szCs w:val="22"/>
                <w:lang w:val="en-US" w:eastAsia="en-US"/>
              </w:rPr>
            </w:pPr>
            <w:r w:rsidRPr="008E2BAE">
              <w:rPr>
                <w:rFonts w:eastAsia="Calibri"/>
                <w:color w:val="000000"/>
                <w:sz w:val="22"/>
                <w:szCs w:val="22"/>
                <w:lang w:val="en-US" w:eastAsia="en-US"/>
              </w:rPr>
              <w:t>RAFI Value Factor Developed Eurozone Fossil Fuels Capped GTR</w:t>
            </w:r>
          </w:p>
        </w:tc>
        <w:tc>
          <w:tcPr>
            <w:tcW w:w="156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0B3B339C" w14:textId="77777777" w:rsidR="008E2BAE" w:rsidRPr="008E2BAE" w:rsidRDefault="008E2BAE" w:rsidP="008E2BAE">
            <w:pPr>
              <w:spacing w:line="256" w:lineRule="auto"/>
              <w:rPr>
                <w:rFonts w:eastAsia="Calibri"/>
                <w:color w:val="000000"/>
                <w:lang w:val="en-GB" w:eastAsia="en-US"/>
              </w:rPr>
            </w:pPr>
            <w:r w:rsidRPr="008E2BAE">
              <w:rPr>
                <w:rFonts w:eastAsia="Calibri"/>
                <w:color w:val="000000"/>
                <w:lang w:val="en-GB" w:eastAsia="en-US"/>
              </w:rPr>
              <w:t>.RAVEFFCT</w:t>
            </w:r>
          </w:p>
        </w:tc>
        <w:tc>
          <w:tcPr>
            <w:tcW w:w="1842"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79379E97" w14:textId="77777777" w:rsidR="008E2BAE" w:rsidRPr="008E2BAE" w:rsidRDefault="008E2BAE" w:rsidP="008E2BAE">
            <w:pPr>
              <w:spacing w:line="256" w:lineRule="auto"/>
              <w:rPr>
                <w:rFonts w:eastAsia="Calibri"/>
                <w:color w:val="000000"/>
                <w:lang w:val="en-GB" w:eastAsia="en-US"/>
              </w:rPr>
            </w:pPr>
            <w:r w:rsidRPr="008E2BAE">
              <w:rPr>
                <w:rFonts w:eastAsia="Calibri"/>
                <w:color w:val="000000"/>
                <w:lang w:val="en-GB" w:eastAsia="en-US"/>
              </w:rPr>
              <w:t>DE000SLA7158</w:t>
            </w:r>
          </w:p>
        </w:tc>
      </w:tr>
      <w:tr w:rsidR="008E2BAE" w:rsidRPr="00526D2B" w14:paraId="07FA84E2" w14:textId="77777777" w:rsidTr="008E2BAE">
        <w:trPr>
          <w:trHeight w:val="201"/>
        </w:trPr>
        <w:tc>
          <w:tcPr>
            <w:tcW w:w="6227" w:type="dxa"/>
            <w:tcBorders>
              <w:top w:val="nil"/>
              <w:left w:val="single" w:sz="8" w:space="0" w:color="auto"/>
              <w:bottom w:val="single" w:sz="4" w:space="0" w:color="auto"/>
              <w:right w:val="single" w:sz="8" w:space="0" w:color="auto"/>
            </w:tcBorders>
            <w:shd w:val="clear" w:color="auto" w:fill="auto"/>
            <w:noWrap/>
            <w:tcMar>
              <w:top w:w="0" w:type="dxa"/>
              <w:left w:w="70" w:type="dxa"/>
              <w:bottom w:w="0" w:type="dxa"/>
              <w:right w:w="70" w:type="dxa"/>
            </w:tcMar>
            <w:vAlign w:val="bottom"/>
          </w:tcPr>
          <w:p w14:paraId="600972AE" w14:textId="77777777" w:rsidR="008E2BAE" w:rsidRPr="008E2BAE" w:rsidRDefault="008E2BAE" w:rsidP="008E2BAE">
            <w:pPr>
              <w:spacing w:line="256" w:lineRule="auto"/>
              <w:rPr>
                <w:rFonts w:eastAsia="Calibri"/>
                <w:color w:val="000000"/>
                <w:sz w:val="22"/>
                <w:szCs w:val="22"/>
                <w:lang w:val="en-US" w:eastAsia="en-US"/>
              </w:rPr>
            </w:pPr>
            <w:r w:rsidRPr="008E2BAE">
              <w:rPr>
                <w:rFonts w:eastAsia="Calibri"/>
                <w:color w:val="000000"/>
                <w:sz w:val="22"/>
                <w:szCs w:val="22"/>
                <w:lang w:val="en-US" w:eastAsia="en-US"/>
              </w:rPr>
              <w:t>RAFI Value Factor Developed Eurozone Fossil Fuels Capped NTR</w:t>
            </w:r>
          </w:p>
        </w:tc>
        <w:tc>
          <w:tcPr>
            <w:tcW w:w="156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65815CAB" w14:textId="77777777" w:rsidR="008E2BAE" w:rsidRPr="008E2BAE" w:rsidRDefault="008E2BAE" w:rsidP="008E2BAE">
            <w:pPr>
              <w:spacing w:line="256" w:lineRule="auto"/>
              <w:rPr>
                <w:rFonts w:eastAsia="Calibri"/>
                <w:color w:val="000000"/>
                <w:lang w:val="en-GB" w:eastAsia="en-US"/>
              </w:rPr>
            </w:pPr>
            <w:r w:rsidRPr="008E2BAE">
              <w:rPr>
                <w:rFonts w:eastAsia="Calibri"/>
                <w:color w:val="000000"/>
                <w:lang w:val="en-GB" w:eastAsia="en-US"/>
              </w:rPr>
              <w:t>.RAVEFFCN</w:t>
            </w:r>
          </w:p>
        </w:tc>
        <w:tc>
          <w:tcPr>
            <w:tcW w:w="1842"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2ECCF5B2" w14:textId="77777777" w:rsidR="008E2BAE" w:rsidRPr="008E2BAE" w:rsidRDefault="008E2BAE" w:rsidP="008E2BAE">
            <w:pPr>
              <w:spacing w:line="256" w:lineRule="auto"/>
              <w:rPr>
                <w:rFonts w:eastAsia="Calibri"/>
                <w:color w:val="000000"/>
                <w:lang w:val="en-GB" w:eastAsia="en-US"/>
              </w:rPr>
            </w:pPr>
            <w:r w:rsidRPr="008E2BAE">
              <w:rPr>
                <w:rFonts w:eastAsia="Calibri"/>
                <w:color w:val="000000"/>
                <w:lang w:val="en-GB" w:eastAsia="en-US"/>
              </w:rPr>
              <w:t>DE000SLA7141</w:t>
            </w:r>
          </w:p>
        </w:tc>
      </w:tr>
      <w:tr w:rsidR="008E2BAE" w:rsidRPr="00526D2B" w14:paraId="51046419" w14:textId="77777777" w:rsidTr="008E2BAE">
        <w:trPr>
          <w:trHeight w:val="201"/>
        </w:trPr>
        <w:tc>
          <w:tcPr>
            <w:tcW w:w="6227" w:type="dxa"/>
            <w:tcBorders>
              <w:top w:val="nil"/>
              <w:left w:val="single" w:sz="8" w:space="0" w:color="auto"/>
              <w:bottom w:val="single" w:sz="4" w:space="0" w:color="auto"/>
              <w:right w:val="single" w:sz="8" w:space="0" w:color="auto"/>
            </w:tcBorders>
            <w:shd w:val="clear" w:color="auto" w:fill="auto"/>
            <w:noWrap/>
            <w:tcMar>
              <w:top w:w="0" w:type="dxa"/>
              <w:left w:w="70" w:type="dxa"/>
              <w:bottom w:w="0" w:type="dxa"/>
              <w:right w:w="70" w:type="dxa"/>
            </w:tcMar>
            <w:vAlign w:val="bottom"/>
          </w:tcPr>
          <w:p w14:paraId="30C89610" w14:textId="77777777" w:rsidR="008E2BAE" w:rsidRPr="008E2BAE" w:rsidRDefault="008E2BAE" w:rsidP="008E2BAE">
            <w:pPr>
              <w:spacing w:line="256" w:lineRule="auto"/>
              <w:rPr>
                <w:rFonts w:eastAsia="Calibri"/>
                <w:color w:val="000000"/>
                <w:sz w:val="22"/>
                <w:szCs w:val="22"/>
                <w:lang w:val="en-US" w:eastAsia="en-US"/>
              </w:rPr>
            </w:pPr>
            <w:r w:rsidRPr="008E2BAE">
              <w:rPr>
                <w:rFonts w:eastAsia="Calibri"/>
                <w:color w:val="000000"/>
                <w:sz w:val="22"/>
                <w:szCs w:val="22"/>
                <w:lang w:val="en-US" w:eastAsia="en-US"/>
              </w:rPr>
              <w:t>RAFI Value Factor Developed Eurozone Fossil Fuels Capped PR</w:t>
            </w:r>
          </w:p>
        </w:tc>
        <w:tc>
          <w:tcPr>
            <w:tcW w:w="156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1A31B3FD" w14:textId="77777777" w:rsidR="008E2BAE" w:rsidRPr="008E2BAE" w:rsidRDefault="008E2BAE" w:rsidP="008E2BAE">
            <w:pPr>
              <w:spacing w:line="256" w:lineRule="auto"/>
              <w:rPr>
                <w:rFonts w:eastAsia="Calibri"/>
                <w:color w:val="000000"/>
                <w:lang w:val="en-GB" w:eastAsia="en-US"/>
              </w:rPr>
            </w:pPr>
            <w:r w:rsidRPr="008E2BAE">
              <w:rPr>
                <w:rFonts w:eastAsia="Calibri"/>
                <w:color w:val="000000"/>
                <w:lang w:val="en-GB" w:eastAsia="en-US"/>
              </w:rPr>
              <w:t>.RAVEFFCP</w:t>
            </w:r>
          </w:p>
        </w:tc>
        <w:tc>
          <w:tcPr>
            <w:tcW w:w="1842"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7FD2B205" w14:textId="77777777" w:rsidR="008E2BAE" w:rsidRPr="008E2BAE" w:rsidRDefault="008E2BAE" w:rsidP="008E2BAE">
            <w:pPr>
              <w:spacing w:line="256" w:lineRule="auto"/>
              <w:rPr>
                <w:rFonts w:eastAsia="Calibri"/>
                <w:color w:val="000000"/>
                <w:lang w:val="en-GB" w:eastAsia="en-US"/>
              </w:rPr>
            </w:pPr>
            <w:r w:rsidRPr="008E2BAE">
              <w:rPr>
                <w:rFonts w:eastAsia="Calibri"/>
                <w:color w:val="000000"/>
                <w:lang w:val="en-GB" w:eastAsia="en-US"/>
              </w:rPr>
              <w:t>DE000SLA7133</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lang w:val="en-DE"/>
        </w:rPr>
        <w:t xml:space="preserve">the </w:t>
      </w:r>
      <w:r w:rsidR="004D6535" w:rsidRPr="0026131F">
        <w:rPr>
          <w:b/>
          <w:bCs/>
          <w:sz w:val="28"/>
          <w:szCs w:val="28"/>
          <w:u w:val="single"/>
          <w:lang w:val="en-GB"/>
        </w:rPr>
        <w:t>Market Consultation</w:t>
      </w:r>
    </w:p>
    <w:p w14:paraId="75E96E90" w14:textId="45B7B7DA" w:rsidR="00233B75" w:rsidRDefault="001B1B9E" w:rsidP="00805B4F">
      <w:pPr>
        <w:spacing w:before="0" w:after="160" w:line="259" w:lineRule="auto"/>
        <w:rPr>
          <w:lang w:val="en-GB"/>
        </w:rPr>
      </w:pPr>
      <w:r>
        <w:rPr>
          <w:lang w:val="en-GB"/>
        </w:rPr>
        <w:t>The</w:t>
      </w:r>
      <w:r w:rsidR="006B7E55">
        <w:rPr>
          <w:lang w:val="en-DE"/>
        </w:rPr>
        <w:t xml:space="preserve"> Indices aim to </w:t>
      </w:r>
      <w:r w:rsidR="006B7E55" w:rsidRPr="00805B4F">
        <w:rPr>
          <w:lang w:val="en-US"/>
        </w:rPr>
        <w:t>limit the exposure to companies involved in the fossil fuels industry</w:t>
      </w:r>
      <w:r w:rsidR="006B7E55">
        <w:rPr>
          <w:lang w:val="en-GB"/>
        </w:rPr>
        <w:t xml:space="preserve"> </w:t>
      </w:r>
      <w:r w:rsidR="006B7E55">
        <w:rPr>
          <w:lang w:val="en-DE"/>
        </w:rPr>
        <w:t xml:space="preserve">by </w:t>
      </w:r>
      <w:r w:rsidR="006B7E55">
        <w:rPr>
          <w:lang w:val="en-GB"/>
        </w:rPr>
        <w:t xml:space="preserve">capping </w:t>
      </w:r>
      <w:r w:rsidR="006B7E55">
        <w:rPr>
          <w:lang w:val="en-DE"/>
        </w:rPr>
        <w:t xml:space="preserve">them </w:t>
      </w:r>
      <w:r w:rsidR="006B7E55">
        <w:rPr>
          <w:lang w:val="en-GB"/>
        </w:rPr>
        <w:t>to a certain exposure</w:t>
      </w:r>
      <w:r w:rsidR="006B7E55">
        <w:rPr>
          <w:lang w:val="en-DE"/>
        </w:rPr>
        <w:t>.</w:t>
      </w:r>
      <w:r>
        <w:rPr>
          <w:lang w:val="en-GB"/>
        </w:rPr>
        <w:t xml:space="preserve"> With </w:t>
      </w:r>
      <w:r w:rsidR="006B7E55">
        <w:rPr>
          <w:lang w:val="en-DE"/>
        </w:rPr>
        <w:t xml:space="preserve">an </w:t>
      </w:r>
      <w:r>
        <w:rPr>
          <w:lang w:val="en-GB"/>
        </w:rPr>
        <w:t>increasing demand for more restrictive exposure, especially towards fossil fuels, the exposure shall be adjusted in a way to cap the overall carbon intensity of the</w:t>
      </w:r>
      <w:r w:rsidR="005F2DF7">
        <w:rPr>
          <w:lang w:val="en-DE"/>
        </w:rPr>
        <w:t xml:space="preserve"> Indices</w:t>
      </w:r>
      <w:r>
        <w:rPr>
          <w:lang w:val="en-GB"/>
        </w:rPr>
        <w:t xml:space="preserve">. </w:t>
      </w:r>
      <w:r w:rsidR="005F2DF7">
        <w:rPr>
          <w:lang w:val="en-DE"/>
        </w:rPr>
        <w:t>Therefore</w:t>
      </w:r>
      <w:r w:rsidR="006B7E55">
        <w:rPr>
          <w:lang w:val="en-DE"/>
        </w:rPr>
        <w:t>, Solactive has determined to</w:t>
      </w:r>
      <w:r>
        <w:rPr>
          <w:lang w:val="en-GB"/>
        </w:rPr>
        <w:t xml:space="preserve"> </w:t>
      </w:r>
      <w:r w:rsidR="00FF5C17">
        <w:rPr>
          <w:lang w:val="en-GB"/>
        </w:rPr>
        <w:t>introduce</w:t>
      </w:r>
      <w:r w:rsidR="006B7E55">
        <w:rPr>
          <w:lang w:val="en-DE"/>
        </w:rPr>
        <w:t xml:space="preserve"> </w:t>
      </w:r>
      <w:r>
        <w:rPr>
          <w:lang w:val="en-GB"/>
        </w:rPr>
        <w:t xml:space="preserve"> this new approach </w:t>
      </w:r>
      <w:r w:rsidR="007033A8">
        <w:rPr>
          <w:lang w:val="en-DE"/>
        </w:rPr>
        <w:t xml:space="preserve">by implementing it </w:t>
      </w:r>
      <w:r>
        <w:rPr>
          <w:lang w:val="en-GB"/>
        </w:rPr>
        <w:t xml:space="preserve"> over a period of 4 rebalances, starting in March 2022 and being finalised with the rebalance in December 2022.</w:t>
      </w:r>
    </w:p>
    <w:p w14:paraId="2BF4DE5A" w14:textId="77777777" w:rsidR="007E47D4" w:rsidRDefault="007E47D4" w:rsidP="00F568D6">
      <w:pPr>
        <w:spacing w:before="0" w:after="160" w:line="259" w:lineRule="auto"/>
        <w:jc w:val="left"/>
        <w:rPr>
          <w:u w:val="single"/>
          <w:lang w:val="en-GB"/>
        </w:rPr>
      </w:pPr>
    </w:p>
    <w:p w14:paraId="2A079CAD" w14:textId="7EB2B430"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C77B4F" w:rsidRPr="00CF5A75">
        <w:rPr>
          <w:b/>
          <w:bCs/>
          <w:sz w:val="28"/>
          <w:szCs w:val="28"/>
          <w:u w:val="single"/>
          <w:lang w:val="en-GB"/>
        </w:rPr>
        <w:t>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28ABCC17" w:rsidR="004A428F" w:rsidRDefault="004A428F" w:rsidP="0026131F">
      <w:pPr>
        <w:spacing w:before="0" w:after="160" w:line="259" w:lineRule="auto"/>
        <w:rPr>
          <w:lang w:val="en-GB"/>
        </w:rPr>
      </w:pPr>
      <w:r>
        <w:rPr>
          <w:lang w:val="en-GB"/>
        </w:rPr>
        <w:t>The following Methodology change</w:t>
      </w:r>
      <w:r w:rsidR="00A64163" w:rsidRPr="00713FE1">
        <w:rPr>
          <w:lang w:val="en-GB"/>
        </w:rPr>
        <w:t>s</w:t>
      </w:r>
      <w:r>
        <w:rPr>
          <w:lang w:val="en-GB"/>
        </w:rPr>
        <w:t xml:space="preserve"> </w:t>
      </w:r>
      <w:r w:rsidRPr="00713FE1">
        <w:rPr>
          <w:lang w:val="en-GB"/>
        </w:rPr>
        <w:t>are</w:t>
      </w:r>
      <w:r>
        <w:rPr>
          <w:lang w:val="en-GB"/>
        </w:rPr>
        <w:t xml:space="preserve"> proposed in the following point</w:t>
      </w:r>
      <w:r w:rsidR="00CF5A75" w:rsidRPr="00713FE1">
        <w:rPr>
          <w:lang w:val="en-GB"/>
        </w:rPr>
        <w:t>s</w:t>
      </w:r>
      <w:r w:rsidR="00A64163" w:rsidRPr="0026131F" w:rsidDel="00C77B4F">
        <w:rPr>
          <w:lang w:val="en-GB"/>
        </w:rPr>
        <w:t xml:space="preserve"> </w:t>
      </w:r>
      <w:r w:rsidR="00C32515">
        <w:rPr>
          <w:lang w:val="en-GB"/>
        </w:rPr>
        <w:t>of the Index Guideline</w:t>
      </w:r>
      <w:r>
        <w:rPr>
          <w:lang w:val="en-GB"/>
        </w:rPr>
        <w:t xml:space="preserve"> (ordered in accordance with the numbering of the affected sections):</w:t>
      </w:r>
    </w:p>
    <w:p w14:paraId="3F1D441A" w14:textId="5E11094C" w:rsidR="00BB16EC" w:rsidRPr="005073D0" w:rsidRDefault="00BB16EC" w:rsidP="00805B4F">
      <w:pPr>
        <w:pStyle w:val="ListParagraph"/>
        <w:numPr>
          <w:ilvl w:val="0"/>
          <w:numId w:val="23"/>
        </w:numPr>
        <w:spacing w:before="0" w:after="160" w:line="259" w:lineRule="auto"/>
        <w:ind w:left="284" w:hanging="284"/>
        <w:rPr>
          <w:lang w:val="en-GB"/>
        </w:rPr>
      </w:pPr>
      <w:r w:rsidRPr="00805B4F">
        <w:rPr>
          <w:b/>
          <w:bCs/>
          <w:lang w:val="en-GB"/>
        </w:rPr>
        <w:t>To align the index name to the objective the name in section 1 will be changed</w:t>
      </w:r>
      <w:r w:rsidRPr="005073D0">
        <w:rPr>
          <w:lang w:val="en-GB"/>
        </w:rPr>
        <w:t>:</w:t>
      </w:r>
    </w:p>
    <w:p w14:paraId="557472F6" w14:textId="35062049" w:rsidR="00BB16EC" w:rsidRDefault="00BB16EC" w:rsidP="00C04273">
      <w:pPr>
        <w:spacing w:before="0" w:after="160" w:line="259" w:lineRule="auto"/>
        <w:rPr>
          <w:lang w:val="en-GB"/>
        </w:rPr>
      </w:pPr>
      <w:r>
        <w:rPr>
          <w:lang w:val="en-GB"/>
        </w:rPr>
        <w:t>From:</w:t>
      </w:r>
    </w:p>
    <w:p w14:paraId="4711718D" w14:textId="2AFE1B26" w:rsidR="00BB16EC" w:rsidRDefault="00713FE1" w:rsidP="00C04273">
      <w:pPr>
        <w:spacing w:before="0" w:after="160" w:line="259" w:lineRule="auto"/>
        <w:rPr>
          <w:lang w:val="en-GB"/>
        </w:rPr>
      </w:pPr>
      <w:r w:rsidRPr="00713FE1">
        <w:rPr>
          <w:lang w:val="en-GB"/>
        </w:rPr>
        <w:t xml:space="preserve">RAFI Value Factor Developed Eurozone </w:t>
      </w:r>
      <w:r>
        <w:rPr>
          <w:lang w:val="en-GB"/>
        </w:rPr>
        <w:t>Fossil Fuels Capped</w:t>
      </w:r>
      <w:r w:rsidRPr="00713FE1">
        <w:rPr>
          <w:lang w:val="en-GB"/>
        </w:rPr>
        <w:t xml:space="preserve"> Index</w:t>
      </w:r>
    </w:p>
    <w:p w14:paraId="7F12B09C" w14:textId="293CA062" w:rsidR="00BB16EC" w:rsidRDefault="00BB16EC" w:rsidP="00C04273">
      <w:pPr>
        <w:spacing w:before="0" w:after="160" w:line="259" w:lineRule="auto"/>
        <w:rPr>
          <w:lang w:val="en-GB"/>
        </w:rPr>
      </w:pPr>
      <w:r>
        <w:rPr>
          <w:lang w:val="en-GB"/>
        </w:rPr>
        <w:t>To:</w:t>
      </w:r>
    </w:p>
    <w:p w14:paraId="15E1A207" w14:textId="245F0DC0" w:rsidR="00BB16EC" w:rsidRDefault="00713FE1" w:rsidP="00C04273">
      <w:pPr>
        <w:spacing w:before="0" w:after="160" w:line="259" w:lineRule="auto"/>
        <w:rPr>
          <w:lang w:val="en-GB"/>
        </w:rPr>
      </w:pPr>
      <w:r w:rsidRPr="00713FE1">
        <w:rPr>
          <w:lang w:val="en-GB"/>
        </w:rPr>
        <w:t>RAFI Value Factor Developed Eurozone Carbon Neutral Index</w:t>
      </w:r>
    </w:p>
    <w:p w14:paraId="6FBDF17E" w14:textId="0C0ABBCF" w:rsidR="00113086" w:rsidRPr="00BB16EC" w:rsidRDefault="00BB16EC" w:rsidP="00805B4F">
      <w:pPr>
        <w:pStyle w:val="ListParagraph"/>
        <w:numPr>
          <w:ilvl w:val="0"/>
          <w:numId w:val="23"/>
        </w:numPr>
        <w:spacing w:before="0" w:after="160" w:line="259" w:lineRule="auto"/>
        <w:ind w:left="284" w:hanging="284"/>
        <w:rPr>
          <w:lang w:val="en-GB"/>
        </w:rPr>
      </w:pPr>
      <w:r w:rsidRPr="00BB16EC">
        <w:rPr>
          <w:lang w:val="en-GB"/>
        </w:rPr>
        <w:t xml:space="preserve">To reflect the changes highlighted in the rationale, section 2.6 and 2.6.1 will </w:t>
      </w:r>
      <w:r w:rsidR="005073D0">
        <w:rPr>
          <w:lang w:val="en-DE"/>
        </w:rPr>
        <w:t>be amended as follows</w:t>
      </w:r>
      <w:r w:rsidRPr="00BB16EC">
        <w:rPr>
          <w:lang w:val="en-GB"/>
        </w:rPr>
        <w:t>:</w:t>
      </w:r>
    </w:p>
    <w:p w14:paraId="210EE923" w14:textId="77777777" w:rsidR="00BB16EC" w:rsidRPr="00805B4F" w:rsidRDefault="00BB16EC" w:rsidP="00BB16EC">
      <w:pPr>
        <w:autoSpaceDE w:val="0"/>
        <w:autoSpaceDN w:val="0"/>
        <w:adjustRightInd w:val="0"/>
        <w:spacing w:before="0" w:after="0"/>
        <w:ind w:left="360" w:right="495"/>
        <w:jc w:val="left"/>
        <w:rPr>
          <w:bCs/>
          <w:color w:val="606060"/>
          <w:lang w:val="en-GB"/>
        </w:rPr>
      </w:pPr>
      <w:r w:rsidRPr="00805B4F">
        <w:rPr>
          <w:bCs/>
          <w:color w:val="606060"/>
          <w:lang w:val="en-GB"/>
        </w:rPr>
        <w:t>2.6 RAFI Value Factor Developed Eurozone Carbon Neutral Index Construction</w:t>
      </w:r>
    </w:p>
    <w:p w14:paraId="5412965E" w14:textId="77777777" w:rsidR="00BB16EC" w:rsidRPr="00805B4F" w:rsidRDefault="00BB16EC" w:rsidP="00BB16EC">
      <w:pPr>
        <w:adjustRightInd w:val="0"/>
        <w:spacing w:before="0" w:after="240"/>
        <w:ind w:left="360" w:right="490"/>
        <w:rPr>
          <w:rFonts w:cs="Arial"/>
          <w:lang w:val="en-GB"/>
        </w:rPr>
      </w:pPr>
      <w:r w:rsidRPr="00805B4F">
        <w:rPr>
          <w:rFonts w:cs="Arial"/>
          <w:lang w:val="en-GB"/>
        </w:rPr>
        <w:t>The RAFI Value Factor Developed Eurozone Carbon Neutral Index consists of companies with a high ratio of company fundamental weight to its market capitalization weight, and tilts index constituent weights in order to reduce the overall index carbon intensity to roughly match the carbon intensity of the market.</w:t>
      </w:r>
    </w:p>
    <w:p w14:paraId="681F65E5" w14:textId="77777777" w:rsidR="00BB16EC" w:rsidRPr="00805B4F" w:rsidRDefault="00BB16EC" w:rsidP="00BB16EC">
      <w:pPr>
        <w:adjustRightInd w:val="0"/>
        <w:spacing w:before="0" w:after="240"/>
        <w:ind w:left="360" w:right="490"/>
        <w:rPr>
          <w:rFonts w:cs="Arial"/>
          <w:lang w:val="en-GB"/>
        </w:rPr>
      </w:pPr>
      <w:r w:rsidRPr="00805B4F">
        <w:rPr>
          <w:rFonts w:cs="Arial"/>
          <w:lang w:val="en-GB"/>
        </w:rPr>
        <w:lastRenderedPageBreak/>
        <w:t>Eligible securities are Large/Mid securities as defined in Section 2.2 from the following eligible countries, which are a subset of the Developed Europe ex-UK country group defined in Section 2.3.</w:t>
      </w:r>
    </w:p>
    <w:tbl>
      <w:tblPr>
        <w:tblW w:w="2304" w:type="dxa"/>
        <w:jc w:val="center"/>
        <w:tblCellMar>
          <w:left w:w="58" w:type="dxa"/>
          <w:right w:w="0" w:type="dxa"/>
        </w:tblCellMar>
        <w:tblLook w:val="04A0" w:firstRow="1" w:lastRow="0" w:firstColumn="1" w:lastColumn="0" w:noHBand="0" w:noVBand="1"/>
      </w:tblPr>
      <w:tblGrid>
        <w:gridCol w:w="2312"/>
      </w:tblGrid>
      <w:tr w:rsidR="00BB16EC" w:rsidRPr="00A114CD" w14:paraId="0C0D33A5" w14:textId="77777777" w:rsidTr="00BB16EC">
        <w:trPr>
          <w:trHeight w:val="350"/>
          <w:jc w:val="center"/>
        </w:trPr>
        <w:tc>
          <w:tcPr>
            <w:tcW w:w="2304" w:type="dxa"/>
            <w:tcBorders>
              <w:top w:val="single" w:sz="4" w:space="0" w:color="auto"/>
              <w:left w:val="nil"/>
              <w:bottom w:val="single" w:sz="4" w:space="0" w:color="auto"/>
              <w:right w:val="nil"/>
            </w:tcBorders>
            <w:vAlign w:val="center"/>
            <w:hideMark/>
          </w:tcPr>
          <w:p w14:paraId="1794E28D" w14:textId="77777777" w:rsidR="00BB16EC" w:rsidRPr="00805B4F" w:rsidRDefault="00BB16EC" w:rsidP="00BB16EC">
            <w:pPr>
              <w:adjustRightInd w:val="0"/>
              <w:spacing w:before="0" w:after="0" w:line="256" w:lineRule="auto"/>
              <w:jc w:val="left"/>
              <w:rPr>
                <w:rFonts w:cs="Arial"/>
                <w:b/>
                <w:lang w:val="en-GB" w:eastAsia="zh-TW"/>
              </w:rPr>
            </w:pPr>
            <w:r w:rsidRPr="00805B4F">
              <w:rPr>
                <w:rFonts w:cs="Arial"/>
                <w:b/>
                <w:lang w:val="en-GB" w:eastAsia="zh-TW"/>
              </w:rPr>
              <w:t xml:space="preserve">Developed </w:t>
            </w:r>
          </w:p>
          <w:p w14:paraId="45C40554" w14:textId="77777777" w:rsidR="00BB16EC" w:rsidRPr="00805B4F" w:rsidRDefault="00BB16EC" w:rsidP="00BB16EC">
            <w:pPr>
              <w:adjustRightInd w:val="0"/>
              <w:spacing w:before="0" w:after="0" w:line="256" w:lineRule="auto"/>
              <w:jc w:val="left"/>
              <w:rPr>
                <w:rFonts w:cs="Arial"/>
                <w:b/>
                <w:lang w:val="en-GB" w:eastAsia="zh-TW"/>
              </w:rPr>
            </w:pPr>
            <w:r w:rsidRPr="00805B4F">
              <w:rPr>
                <w:rFonts w:cs="Arial"/>
                <w:b/>
                <w:lang w:val="en-GB" w:eastAsia="zh-TW"/>
              </w:rPr>
              <w:t>Eurozone</w:t>
            </w:r>
          </w:p>
        </w:tc>
      </w:tr>
      <w:tr w:rsidR="00BB16EC" w:rsidRPr="00A114CD" w14:paraId="4B0C5A55" w14:textId="77777777" w:rsidTr="00BB16EC">
        <w:trPr>
          <w:trHeight w:val="20"/>
          <w:jc w:val="center"/>
        </w:trPr>
        <w:tc>
          <w:tcPr>
            <w:tcW w:w="2304" w:type="dxa"/>
            <w:tcBorders>
              <w:top w:val="single" w:sz="4" w:space="0" w:color="auto"/>
              <w:left w:val="nil"/>
              <w:bottom w:val="nil"/>
              <w:right w:val="nil"/>
            </w:tcBorders>
            <w:shd w:val="clear" w:color="auto" w:fill="FFFFFF"/>
            <w:noWrap/>
            <w:vAlign w:val="center"/>
            <w:hideMark/>
          </w:tcPr>
          <w:p w14:paraId="71830965" w14:textId="77777777" w:rsidR="00BB16EC" w:rsidRPr="00805B4F" w:rsidRDefault="00BB16EC" w:rsidP="00BB16EC">
            <w:pPr>
              <w:adjustRightInd w:val="0"/>
              <w:spacing w:before="0" w:after="0" w:line="256" w:lineRule="auto"/>
              <w:jc w:val="left"/>
              <w:rPr>
                <w:rFonts w:cs="Arial"/>
                <w:color w:val="000000"/>
                <w:lang w:val="en-GB" w:eastAsia="zh-TW"/>
              </w:rPr>
            </w:pPr>
            <w:r w:rsidRPr="00805B4F">
              <w:rPr>
                <w:rFonts w:cs="Arial"/>
                <w:color w:val="000000"/>
                <w:lang w:val="en-GB" w:eastAsia="zh-TW"/>
              </w:rPr>
              <w:t>Austria</w:t>
            </w:r>
          </w:p>
        </w:tc>
      </w:tr>
      <w:tr w:rsidR="00BB16EC" w:rsidRPr="00A114CD" w14:paraId="705E1234" w14:textId="77777777" w:rsidTr="00BB16EC">
        <w:trPr>
          <w:trHeight w:val="20"/>
          <w:jc w:val="center"/>
        </w:trPr>
        <w:tc>
          <w:tcPr>
            <w:tcW w:w="2304" w:type="dxa"/>
            <w:shd w:val="clear" w:color="auto" w:fill="FFFFFF"/>
            <w:noWrap/>
            <w:vAlign w:val="center"/>
            <w:hideMark/>
          </w:tcPr>
          <w:p w14:paraId="33F2456C" w14:textId="77777777" w:rsidR="00BB16EC" w:rsidRPr="00805B4F" w:rsidRDefault="00BB16EC" w:rsidP="00BB16EC">
            <w:pPr>
              <w:adjustRightInd w:val="0"/>
              <w:spacing w:before="0" w:after="0" w:line="256" w:lineRule="auto"/>
              <w:jc w:val="left"/>
              <w:rPr>
                <w:rFonts w:cs="Arial"/>
                <w:color w:val="000000"/>
                <w:lang w:val="en-GB" w:eastAsia="zh-TW"/>
              </w:rPr>
            </w:pPr>
            <w:r w:rsidRPr="00805B4F">
              <w:rPr>
                <w:rFonts w:cs="Arial"/>
                <w:color w:val="000000"/>
                <w:lang w:val="en-GB" w:eastAsia="zh-TW"/>
              </w:rPr>
              <w:t>Belgium</w:t>
            </w:r>
          </w:p>
        </w:tc>
      </w:tr>
      <w:tr w:rsidR="00BB16EC" w:rsidRPr="00A114CD" w14:paraId="21429E59" w14:textId="77777777" w:rsidTr="00BB16EC">
        <w:trPr>
          <w:trHeight w:val="20"/>
          <w:jc w:val="center"/>
        </w:trPr>
        <w:tc>
          <w:tcPr>
            <w:tcW w:w="2304" w:type="dxa"/>
            <w:shd w:val="clear" w:color="auto" w:fill="FFFFFF"/>
            <w:noWrap/>
            <w:vAlign w:val="center"/>
            <w:hideMark/>
          </w:tcPr>
          <w:p w14:paraId="63ED4A27" w14:textId="77777777" w:rsidR="00BB16EC" w:rsidRPr="00805B4F" w:rsidRDefault="00BB16EC" w:rsidP="00BB16EC">
            <w:pPr>
              <w:adjustRightInd w:val="0"/>
              <w:spacing w:before="0" w:after="0" w:line="256" w:lineRule="auto"/>
              <w:jc w:val="left"/>
              <w:rPr>
                <w:rFonts w:cs="Arial"/>
                <w:color w:val="000000"/>
                <w:lang w:val="en-GB" w:eastAsia="zh-TW"/>
              </w:rPr>
            </w:pPr>
            <w:r w:rsidRPr="00805B4F">
              <w:rPr>
                <w:rFonts w:cs="Arial"/>
                <w:color w:val="000000"/>
                <w:lang w:val="en-GB" w:eastAsia="zh-TW"/>
              </w:rPr>
              <w:t>Finland</w:t>
            </w:r>
          </w:p>
        </w:tc>
      </w:tr>
      <w:tr w:rsidR="00BB16EC" w:rsidRPr="00A114CD" w14:paraId="03D3515C" w14:textId="77777777" w:rsidTr="00BB16EC">
        <w:trPr>
          <w:trHeight w:val="20"/>
          <w:jc w:val="center"/>
        </w:trPr>
        <w:tc>
          <w:tcPr>
            <w:tcW w:w="2304" w:type="dxa"/>
            <w:shd w:val="clear" w:color="auto" w:fill="FFFFFF"/>
            <w:noWrap/>
            <w:vAlign w:val="center"/>
            <w:hideMark/>
          </w:tcPr>
          <w:p w14:paraId="13C1908E" w14:textId="77777777" w:rsidR="00BB16EC" w:rsidRPr="00805B4F" w:rsidRDefault="00BB16EC" w:rsidP="00BB16EC">
            <w:pPr>
              <w:adjustRightInd w:val="0"/>
              <w:spacing w:before="0" w:after="0" w:line="256" w:lineRule="auto"/>
              <w:jc w:val="left"/>
              <w:rPr>
                <w:rFonts w:cs="Arial"/>
                <w:color w:val="000000"/>
                <w:lang w:val="en-GB" w:eastAsia="zh-TW"/>
              </w:rPr>
            </w:pPr>
            <w:r w:rsidRPr="00805B4F">
              <w:rPr>
                <w:rFonts w:cs="Arial"/>
                <w:color w:val="000000"/>
                <w:lang w:val="en-GB" w:eastAsia="zh-TW"/>
              </w:rPr>
              <w:t>France</w:t>
            </w:r>
          </w:p>
        </w:tc>
      </w:tr>
      <w:tr w:rsidR="00BB16EC" w:rsidRPr="00A114CD" w14:paraId="55300B40" w14:textId="77777777" w:rsidTr="00BB16EC">
        <w:trPr>
          <w:trHeight w:val="20"/>
          <w:jc w:val="center"/>
        </w:trPr>
        <w:tc>
          <w:tcPr>
            <w:tcW w:w="2304" w:type="dxa"/>
            <w:shd w:val="clear" w:color="auto" w:fill="FFFFFF"/>
            <w:noWrap/>
            <w:vAlign w:val="center"/>
            <w:hideMark/>
          </w:tcPr>
          <w:p w14:paraId="5CE4EB9F" w14:textId="77777777" w:rsidR="00BB16EC" w:rsidRPr="00805B4F" w:rsidRDefault="00BB16EC" w:rsidP="00BB16EC">
            <w:pPr>
              <w:adjustRightInd w:val="0"/>
              <w:spacing w:before="0" w:after="0" w:line="256" w:lineRule="auto"/>
              <w:jc w:val="left"/>
              <w:rPr>
                <w:rFonts w:cs="Arial"/>
                <w:color w:val="000000"/>
                <w:lang w:val="en-GB" w:eastAsia="zh-TW"/>
              </w:rPr>
            </w:pPr>
            <w:r w:rsidRPr="00805B4F">
              <w:rPr>
                <w:rFonts w:cs="Arial"/>
                <w:color w:val="000000"/>
                <w:lang w:val="en-GB" w:eastAsia="zh-TW"/>
              </w:rPr>
              <w:t>Germany</w:t>
            </w:r>
          </w:p>
        </w:tc>
      </w:tr>
      <w:tr w:rsidR="00BB16EC" w:rsidRPr="00A114CD" w14:paraId="59CEB1C1" w14:textId="77777777" w:rsidTr="00BB16EC">
        <w:trPr>
          <w:trHeight w:val="20"/>
          <w:jc w:val="center"/>
        </w:trPr>
        <w:tc>
          <w:tcPr>
            <w:tcW w:w="2304" w:type="dxa"/>
            <w:shd w:val="clear" w:color="auto" w:fill="FFFFFF"/>
            <w:noWrap/>
            <w:vAlign w:val="center"/>
            <w:hideMark/>
          </w:tcPr>
          <w:p w14:paraId="2F2C83F2" w14:textId="77777777" w:rsidR="00BB16EC" w:rsidRPr="00805B4F" w:rsidRDefault="00BB16EC" w:rsidP="00BB16EC">
            <w:pPr>
              <w:tabs>
                <w:tab w:val="left" w:pos="216"/>
              </w:tabs>
              <w:adjustRightInd w:val="0"/>
              <w:spacing w:before="0" w:after="0" w:line="256" w:lineRule="auto"/>
              <w:jc w:val="left"/>
              <w:rPr>
                <w:rFonts w:cs="Arial"/>
                <w:color w:val="000000"/>
                <w:lang w:val="en-GB" w:eastAsia="zh-TW"/>
              </w:rPr>
            </w:pPr>
            <w:r w:rsidRPr="00805B4F">
              <w:rPr>
                <w:rFonts w:cs="Arial"/>
                <w:color w:val="000000"/>
                <w:lang w:val="en-GB" w:eastAsia="zh-TW"/>
              </w:rPr>
              <w:t>Ireland</w:t>
            </w:r>
          </w:p>
        </w:tc>
      </w:tr>
      <w:tr w:rsidR="00BB16EC" w:rsidRPr="00A114CD" w14:paraId="5A9169C8" w14:textId="77777777" w:rsidTr="00BB16EC">
        <w:trPr>
          <w:trHeight w:val="20"/>
          <w:jc w:val="center"/>
        </w:trPr>
        <w:tc>
          <w:tcPr>
            <w:tcW w:w="2304" w:type="dxa"/>
            <w:shd w:val="clear" w:color="auto" w:fill="FFFFFF"/>
            <w:noWrap/>
            <w:vAlign w:val="center"/>
            <w:hideMark/>
          </w:tcPr>
          <w:p w14:paraId="698626F5" w14:textId="77777777" w:rsidR="00BB16EC" w:rsidRPr="00805B4F" w:rsidRDefault="00BB16EC" w:rsidP="00BB16EC">
            <w:pPr>
              <w:tabs>
                <w:tab w:val="left" w:pos="201"/>
              </w:tabs>
              <w:adjustRightInd w:val="0"/>
              <w:spacing w:before="0" w:after="0" w:line="256" w:lineRule="auto"/>
              <w:jc w:val="left"/>
              <w:rPr>
                <w:rFonts w:cs="Arial"/>
                <w:color w:val="000000"/>
                <w:lang w:val="en-GB" w:eastAsia="zh-TW"/>
              </w:rPr>
            </w:pPr>
            <w:r w:rsidRPr="00805B4F">
              <w:rPr>
                <w:rFonts w:cs="Arial"/>
                <w:color w:val="000000"/>
                <w:lang w:val="en-GB" w:eastAsia="zh-TW"/>
              </w:rPr>
              <w:t>Italy</w:t>
            </w:r>
          </w:p>
        </w:tc>
      </w:tr>
      <w:tr w:rsidR="00BB16EC" w:rsidRPr="00A114CD" w14:paraId="244DE082" w14:textId="77777777" w:rsidTr="00BB16EC">
        <w:trPr>
          <w:trHeight w:val="20"/>
          <w:jc w:val="center"/>
        </w:trPr>
        <w:tc>
          <w:tcPr>
            <w:tcW w:w="2304" w:type="dxa"/>
            <w:shd w:val="clear" w:color="auto" w:fill="FFFFFF"/>
            <w:noWrap/>
            <w:vAlign w:val="center"/>
            <w:hideMark/>
          </w:tcPr>
          <w:p w14:paraId="17940343" w14:textId="77777777" w:rsidR="00BB16EC" w:rsidRPr="00805B4F" w:rsidRDefault="00BB16EC" w:rsidP="00BB16EC">
            <w:pPr>
              <w:tabs>
                <w:tab w:val="left" w:pos="201"/>
              </w:tabs>
              <w:adjustRightInd w:val="0"/>
              <w:spacing w:before="0" w:after="0" w:line="256" w:lineRule="auto"/>
              <w:jc w:val="left"/>
              <w:rPr>
                <w:rFonts w:cs="Arial"/>
                <w:color w:val="000000"/>
                <w:lang w:val="en-GB" w:eastAsia="zh-TW"/>
              </w:rPr>
            </w:pPr>
            <w:r w:rsidRPr="00805B4F">
              <w:rPr>
                <w:rFonts w:cs="Arial"/>
                <w:color w:val="000000"/>
                <w:lang w:val="en-GB" w:eastAsia="zh-TW"/>
              </w:rPr>
              <w:t>Netherland</w:t>
            </w:r>
          </w:p>
        </w:tc>
      </w:tr>
      <w:tr w:rsidR="00BB16EC" w:rsidRPr="00A114CD" w14:paraId="5CE678EA" w14:textId="77777777" w:rsidTr="00BB16EC">
        <w:trPr>
          <w:trHeight w:val="20"/>
          <w:jc w:val="center"/>
        </w:trPr>
        <w:tc>
          <w:tcPr>
            <w:tcW w:w="2304" w:type="dxa"/>
            <w:shd w:val="clear" w:color="auto" w:fill="FFFFFF"/>
            <w:noWrap/>
            <w:vAlign w:val="center"/>
            <w:hideMark/>
          </w:tcPr>
          <w:p w14:paraId="5AAA936C" w14:textId="77777777" w:rsidR="00BB16EC" w:rsidRPr="00805B4F" w:rsidRDefault="00BB16EC" w:rsidP="00BB16EC">
            <w:pPr>
              <w:tabs>
                <w:tab w:val="left" w:pos="201"/>
              </w:tabs>
              <w:adjustRightInd w:val="0"/>
              <w:spacing w:before="0" w:after="0" w:line="256" w:lineRule="auto"/>
              <w:jc w:val="left"/>
              <w:rPr>
                <w:rFonts w:cs="Arial"/>
                <w:color w:val="000000"/>
                <w:lang w:val="en-GB" w:eastAsia="zh-TW"/>
              </w:rPr>
            </w:pPr>
            <w:r w:rsidRPr="00805B4F">
              <w:rPr>
                <w:rFonts w:cs="Arial"/>
                <w:color w:val="000000"/>
                <w:lang w:val="en-GB" w:eastAsia="zh-TW"/>
              </w:rPr>
              <w:t>Portugal</w:t>
            </w:r>
          </w:p>
        </w:tc>
      </w:tr>
      <w:tr w:rsidR="00BB16EC" w:rsidRPr="00A114CD" w14:paraId="392261E4" w14:textId="77777777" w:rsidTr="00BB16EC">
        <w:trPr>
          <w:trHeight w:val="20"/>
          <w:jc w:val="center"/>
        </w:trPr>
        <w:tc>
          <w:tcPr>
            <w:tcW w:w="2304" w:type="dxa"/>
            <w:tcBorders>
              <w:top w:val="nil"/>
              <w:left w:val="nil"/>
              <w:bottom w:val="single" w:sz="4" w:space="0" w:color="auto"/>
              <w:right w:val="nil"/>
            </w:tcBorders>
            <w:shd w:val="clear" w:color="auto" w:fill="FFFFFF"/>
            <w:noWrap/>
            <w:vAlign w:val="center"/>
            <w:hideMark/>
          </w:tcPr>
          <w:p w14:paraId="10B98B51" w14:textId="77777777" w:rsidR="00BB16EC" w:rsidRPr="00805B4F" w:rsidRDefault="00BB16EC" w:rsidP="00BB16EC">
            <w:pPr>
              <w:adjustRightInd w:val="0"/>
              <w:spacing w:before="0" w:after="0" w:line="256" w:lineRule="auto"/>
              <w:jc w:val="left"/>
              <w:rPr>
                <w:rFonts w:cs="Arial"/>
                <w:color w:val="000000"/>
                <w:lang w:val="en-GB" w:eastAsia="zh-TW"/>
              </w:rPr>
            </w:pPr>
            <w:r w:rsidRPr="00805B4F">
              <w:rPr>
                <w:rFonts w:cs="Arial"/>
                <w:color w:val="000000"/>
                <w:lang w:val="en-GB" w:eastAsia="zh-TW"/>
              </w:rPr>
              <w:t>Spain</w:t>
            </w:r>
          </w:p>
        </w:tc>
      </w:tr>
    </w:tbl>
    <w:p w14:paraId="77123BE5" w14:textId="77777777" w:rsidR="00BB16EC" w:rsidRPr="00805B4F" w:rsidRDefault="00BB16EC" w:rsidP="00BB16EC">
      <w:pPr>
        <w:adjustRightInd w:val="0"/>
        <w:spacing w:before="0" w:after="240"/>
        <w:ind w:left="360" w:right="490"/>
        <w:rPr>
          <w:rFonts w:cs="Arial"/>
          <w:lang w:val="en-GB"/>
        </w:rPr>
      </w:pPr>
    </w:p>
    <w:p w14:paraId="1190B8C1" w14:textId="77777777" w:rsidR="00BB16EC" w:rsidRPr="00805B4F" w:rsidRDefault="00BB16EC" w:rsidP="00BB16EC">
      <w:pPr>
        <w:adjustRightInd w:val="0"/>
        <w:spacing w:before="0" w:after="240"/>
        <w:ind w:left="360" w:right="490"/>
        <w:rPr>
          <w:rFonts w:cs="Arial"/>
          <w:lang w:val="en-GB"/>
        </w:rPr>
      </w:pPr>
      <w:r w:rsidRPr="00805B4F">
        <w:rPr>
          <w:rFonts w:cs="Arial"/>
          <w:lang w:val="en-GB"/>
        </w:rPr>
        <w:t>For the Developed Eurozone Large/Mid region/size group the ratio of fundamental weight to market capitalization weight for each stock is calculated as defined in Section 2.4. Stocks are then ranked in descending order by the ratio, the top 25% by cumulative adjusted fundamental weight as defined in Section 2.4.1 are selected for inclusion, subject to a minimum of 15 stocks.  Selected companies are then re-weighted by their adjusted fundamental weight subject to the application of liquidity limit Rule 2.15 and maximum stock weight of 10%. The minimum stock weight is 0.05%. Stocks below the minimum weight are removed and the excess weights are distributed across the remaining stocks in the index</w:t>
      </w:r>
    </w:p>
    <w:p w14:paraId="780C81A0" w14:textId="77777777" w:rsidR="00BB16EC" w:rsidRPr="00805B4F" w:rsidRDefault="00BB16EC" w:rsidP="00BB16EC">
      <w:pPr>
        <w:adjustRightInd w:val="0"/>
        <w:spacing w:before="0" w:after="240"/>
        <w:ind w:left="360" w:right="490"/>
        <w:rPr>
          <w:rFonts w:cs="Arial"/>
          <w:lang w:val="en-GB"/>
        </w:rPr>
      </w:pPr>
      <w:r w:rsidRPr="00805B4F">
        <w:rPr>
          <w:rFonts w:cs="Arial"/>
          <w:lang w:val="en-GB"/>
        </w:rPr>
        <w:t>The RAFI Value Factor Index is rebalanced quarterly using a quarterly staggered approach described in Section 2.15.1. At each staggered quarterly rebalance, the processes as defined in Sections 2.13 and 2.14 are applied to limit turnover.</w:t>
      </w:r>
    </w:p>
    <w:p w14:paraId="12D5DC33" w14:textId="77777777" w:rsidR="00BB16EC" w:rsidRPr="00805B4F" w:rsidRDefault="00BB16EC" w:rsidP="00BB16EC">
      <w:pPr>
        <w:tabs>
          <w:tab w:val="left" w:pos="1440"/>
        </w:tabs>
        <w:autoSpaceDE w:val="0"/>
        <w:autoSpaceDN w:val="0"/>
        <w:adjustRightInd w:val="0"/>
        <w:spacing w:before="0" w:after="0"/>
        <w:ind w:left="720" w:right="495"/>
        <w:jc w:val="left"/>
        <w:rPr>
          <w:bCs/>
          <w:color w:val="606060"/>
          <w:lang w:val="en-GB"/>
        </w:rPr>
      </w:pPr>
      <w:r w:rsidRPr="00805B4F">
        <w:rPr>
          <w:bCs/>
          <w:color w:val="606060"/>
          <w:lang w:val="en-GB"/>
        </w:rPr>
        <w:t>2.6.1</w:t>
      </w:r>
      <w:r w:rsidRPr="00805B4F">
        <w:rPr>
          <w:bCs/>
          <w:color w:val="606060"/>
          <w:lang w:val="en-GB"/>
        </w:rPr>
        <w:tab/>
        <w:t>Carbon Intensity Reduction Methodology</w:t>
      </w:r>
    </w:p>
    <w:p w14:paraId="316D5AC8" w14:textId="77777777" w:rsidR="00BB16EC" w:rsidRPr="00805B4F" w:rsidRDefault="00BB16EC" w:rsidP="00BB16EC">
      <w:pPr>
        <w:adjustRightInd w:val="0"/>
        <w:spacing w:before="0" w:after="240"/>
        <w:ind w:left="1440" w:right="490"/>
        <w:rPr>
          <w:rFonts w:cs="Arial"/>
          <w:lang w:val="en-GB"/>
        </w:rPr>
      </w:pPr>
      <w:r w:rsidRPr="00805B4F">
        <w:rPr>
          <w:rFonts w:cs="Arial"/>
          <w:lang w:val="en-GB"/>
        </w:rPr>
        <w:t>The following methodology is applied to the underlying RAFI Factor Developed Eurozone strategy described in Section 2.5.1.</w:t>
      </w:r>
    </w:p>
    <w:p w14:paraId="4B4084B8" w14:textId="77777777" w:rsidR="00BB16EC" w:rsidRPr="00805B4F" w:rsidRDefault="00BB16EC" w:rsidP="00BB16EC">
      <w:pPr>
        <w:numPr>
          <w:ilvl w:val="0"/>
          <w:numId w:val="22"/>
        </w:numPr>
        <w:tabs>
          <w:tab w:val="left" w:pos="900"/>
        </w:tabs>
        <w:autoSpaceDE w:val="0"/>
        <w:autoSpaceDN w:val="0"/>
        <w:adjustRightInd w:val="0"/>
        <w:spacing w:before="0" w:after="0"/>
        <w:ind w:right="495"/>
        <w:jc w:val="left"/>
        <w:rPr>
          <w:bCs/>
          <w:lang w:val="en-GB"/>
        </w:rPr>
      </w:pPr>
      <w:r w:rsidRPr="00805B4F">
        <w:rPr>
          <w:bCs/>
          <w:lang w:val="en-GB"/>
        </w:rPr>
        <w:t>Determining Company Level Carbon Intensity:</w:t>
      </w:r>
    </w:p>
    <w:p w14:paraId="05306D6D" w14:textId="77777777" w:rsidR="00BB16EC" w:rsidRPr="00805B4F" w:rsidRDefault="00BB16EC" w:rsidP="00BB16EC">
      <w:pPr>
        <w:adjustRightInd w:val="0"/>
        <w:spacing w:before="0" w:after="240"/>
        <w:ind w:left="1512" w:right="490" w:firstLine="288"/>
        <w:rPr>
          <w:rFonts w:cs="Arial"/>
          <w:lang w:val="en-GB"/>
        </w:rPr>
      </w:pPr>
      <w:r w:rsidRPr="00805B4F">
        <w:rPr>
          <w:rFonts w:cs="Arial"/>
          <w:lang w:val="en-GB"/>
        </w:rPr>
        <w:t>For the purpose of index construction, company level carbon intensity is calculated as follows:</w:t>
      </w:r>
    </w:p>
    <w:p w14:paraId="2DE29543" w14:textId="77777777" w:rsidR="00BB16EC" w:rsidRPr="00805B4F" w:rsidRDefault="00BB16EC" w:rsidP="00BB16EC">
      <w:pPr>
        <w:adjustRightInd w:val="0"/>
        <w:spacing w:before="0" w:after="240"/>
        <w:ind w:left="1512" w:right="490" w:firstLine="288"/>
        <w:rPr>
          <w:rFonts w:cs="Arial"/>
          <w:lang w:val="en-GB"/>
        </w:rPr>
      </w:pPr>
      <w:r w:rsidRPr="00805B4F">
        <w:rPr>
          <w:rFonts w:cs="Arial"/>
          <w:lang w:val="en-GB"/>
        </w:rPr>
        <w:t>Carbon Intensity (CI):</w:t>
      </w:r>
    </w:p>
    <w:p w14:paraId="6884FAB0" w14:textId="77777777" w:rsidR="00BB16EC" w:rsidRPr="00805B4F" w:rsidRDefault="00805B4F" w:rsidP="00BB16EC">
      <w:pPr>
        <w:adjustRightInd w:val="0"/>
        <w:spacing w:before="0" w:after="240"/>
        <w:ind w:left="1440" w:right="490"/>
        <w:rPr>
          <w:rFonts w:cs="Arial"/>
          <w:lang w:val="en-GB"/>
        </w:rPr>
      </w:pPr>
      <m:oMathPara>
        <m:oMath>
          <m:sSub>
            <m:sSubPr>
              <m:ctrlPr>
                <w:rPr>
                  <w:rFonts w:ascii="Cambria Math" w:hAnsi="Cambria Math" w:cs="Calibri"/>
                  <w:i/>
                  <w:lang w:val="en-GB"/>
                </w:rPr>
              </m:ctrlPr>
            </m:sSubPr>
            <m:e>
              <m:r>
                <w:rPr>
                  <w:rFonts w:ascii="Cambria Math" w:eastAsia="Calibri" w:hAnsi="Cambria Math" w:cs="Calibri"/>
                  <w:lang w:val="en-GB"/>
                </w:rPr>
                <m:t>Carbon Intensity</m:t>
              </m:r>
            </m:e>
            <m:sub>
              <m:r>
                <w:rPr>
                  <w:rFonts w:ascii="Cambria Math" w:eastAsia="Calibri" w:hAnsi="Cambria Math" w:cs="Calibri"/>
                  <w:lang w:val="en-GB"/>
                </w:rPr>
                <m:t>i</m:t>
              </m:r>
            </m:sub>
          </m:sSub>
          <m:r>
            <w:rPr>
              <w:rFonts w:ascii="Cambria Math" w:eastAsia="Calibri" w:hAnsi="Cambria Math" w:cs="Calibri"/>
              <w:lang w:val="en-GB"/>
            </w:rPr>
            <m:t>=</m:t>
          </m:r>
          <m:f>
            <m:fPr>
              <m:ctrlPr>
                <w:rPr>
                  <w:rFonts w:ascii="Cambria Math" w:hAnsi="Cambria Math" w:cs="Calibri"/>
                  <w:i/>
                  <w:lang w:val="en-GB"/>
                </w:rPr>
              </m:ctrlPr>
            </m:fPr>
            <m:num>
              <m:sSub>
                <m:sSubPr>
                  <m:ctrlPr>
                    <w:rPr>
                      <w:rFonts w:ascii="Cambria Math" w:hAnsi="Cambria Math" w:cs="Calibri"/>
                      <w:i/>
                      <w:lang w:val="en-GB"/>
                    </w:rPr>
                  </m:ctrlPr>
                </m:sSubPr>
                <m:e>
                  <m:r>
                    <w:rPr>
                      <w:rFonts w:ascii="Cambria Math" w:eastAsia="Calibri" w:hAnsi="Cambria Math" w:cs="Calibri"/>
                      <w:lang w:val="en-GB"/>
                    </w:rPr>
                    <m:t>GHG</m:t>
                  </m:r>
                </m:e>
                <m:sub>
                  <m:r>
                    <w:rPr>
                      <w:rFonts w:ascii="Cambria Math" w:eastAsia="Calibri" w:hAnsi="Cambria Math" w:cs="Calibri"/>
                      <w:lang w:val="en-GB"/>
                    </w:rPr>
                    <m:t>i</m:t>
                  </m:r>
                </m:sub>
              </m:sSub>
            </m:num>
            <m:den>
              <m:sSub>
                <m:sSubPr>
                  <m:ctrlPr>
                    <w:rPr>
                      <w:rFonts w:ascii="Cambria Math" w:hAnsi="Cambria Math" w:cs="Calibri"/>
                      <w:i/>
                      <w:lang w:val="en-GB"/>
                    </w:rPr>
                  </m:ctrlPr>
                </m:sSubPr>
                <m:e>
                  <m:r>
                    <w:rPr>
                      <w:rFonts w:ascii="Cambria Math" w:eastAsia="Calibri" w:hAnsi="Cambria Math" w:cs="Calibri"/>
                      <w:lang w:val="en-GB"/>
                    </w:rPr>
                    <m:t>Sales</m:t>
                  </m:r>
                </m:e>
                <m:sub>
                  <m:r>
                    <w:rPr>
                      <w:rFonts w:ascii="Cambria Math" w:eastAsia="Calibri" w:hAnsi="Cambria Math" w:cs="Calibri"/>
                      <w:lang w:val="en-GB"/>
                    </w:rPr>
                    <m:t>i</m:t>
                  </m:r>
                </m:sub>
              </m:sSub>
            </m:den>
          </m:f>
        </m:oMath>
      </m:oMathPara>
    </w:p>
    <w:p w14:paraId="5092197D" w14:textId="77777777" w:rsidR="00BB16EC" w:rsidRPr="00805B4F" w:rsidRDefault="00BB16EC" w:rsidP="00BB16EC">
      <w:pPr>
        <w:tabs>
          <w:tab w:val="left" w:pos="2970"/>
        </w:tabs>
        <w:adjustRightInd w:val="0"/>
        <w:spacing w:before="0" w:after="240"/>
        <w:ind w:left="1872" w:right="490"/>
        <w:rPr>
          <w:rFonts w:cs="Arial"/>
          <w:lang w:val="en-GB"/>
        </w:rPr>
      </w:pPr>
      <w:r w:rsidRPr="00805B4F">
        <w:rPr>
          <w:rFonts w:cs="Arial"/>
          <w:lang w:val="en-GB"/>
        </w:rPr>
        <w:lastRenderedPageBreak/>
        <w:t>With:</w:t>
      </w:r>
    </w:p>
    <w:p w14:paraId="0FE8AB4D" w14:textId="77777777" w:rsidR="00BB16EC" w:rsidRPr="00805B4F" w:rsidRDefault="00805B4F" w:rsidP="00BB16EC">
      <w:pPr>
        <w:tabs>
          <w:tab w:val="left" w:pos="2970"/>
        </w:tabs>
        <w:adjustRightInd w:val="0"/>
        <w:spacing w:before="0" w:after="240"/>
        <w:ind w:left="3762" w:right="576" w:hanging="1890"/>
        <w:rPr>
          <w:rFonts w:cs="Arial"/>
          <w:i/>
          <w:lang w:val="en-GB"/>
        </w:rPr>
      </w:pPr>
      <m:oMath>
        <m:sSub>
          <m:sSubPr>
            <m:ctrlPr>
              <w:rPr>
                <w:rFonts w:ascii="Cambria Math" w:hAnsi="Cambria Math" w:cs="Arial"/>
                <w:i/>
                <w:lang w:val="en-GB"/>
              </w:rPr>
            </m:ctrlPr>
          </m:sSubPr>
          <m:e>
            <m:r>
              <w:rPr>
                <w:rFonts w:ascii="Cambria Math" w:hAnsi="Cambria Math" w:cs="Arial"/>
                <w:lang w:val="en-GB"/>
              </w:rPr>
              <m:t>GHG</m:t>
            </m:r>
          </m:e>
          <m:sub>
            <m:r>
              <w:rPr>
                <w:rFonts w:ascii="Cambria Math" w:hAnsi="Cambria Math" w:cs="Arial"/>
                <w:lang w:val="en-GB"/>
              </w:rPr>
              <m:t>i</m:t>
            </m:r>
          </m:sub>
        </m:sSub>
      </m:oMath>
      <w:r w:rsidR="00BB16EC" w:rsidRPr="00805B4F">
        <w:rPr>
          <w:rFonts w:cs="Arial"/>
          <w:i/>
          <w:lang w:val="en-GB"/>
        </w:rPr>
        <w:tab/>
      </w:r>
      <w:r w:rsidR="00BB16EC" w:rsidRPr="00805B4F">
        <w:rPr>
          <w:rFonts w:cs="Arial"/>
          <w:lang w:val="en-GB"/>
        </w:rPr>
        <w:t>=</w:t>
      </w:r>
      <w:r w:rsidR="00BB16EC" w:rsidRPr="00805B4F">
        <w:rPr>
          <w:rFonts w:cs="Arial"/>
          <w:i/>
          <w:lang w:val="en-GB"/>
        </w:rPr>
        <w:tab/>
      </w:r>
      <w:r w:rsidR="00BB16EC" w:rsidRPr="00805B4F">
        <w:rPr>
          <w:rFonts w:cs="Arial"/>
          <w:lang w:val="en-GB"/>
        </w:rPr>
        <w:t>Green House Gas Emissions Scope 1 and Scope 2 in tons CO2 equivalent</w:t>
      </w:r>
    </w:p>
    <w:p w14:paraId="6C00691C" w14:textId="77777777" w:rsidR="00BB16EC" w:rsidRPr="00805B4F" w:rsidRDefault="00BB16EC" w:rsidP="00BB16EC">
      <w:pPr>
        <w:tabs>
          <w:tab w:val="left" w:pos="1170"/>
          <w:tab w:val="left" w:pos="2970"/>
          <w:tab w:val="left" w:pos="3060"/>
          <w:tab w:val="left" w:pos="3330"/>
        </w:tabs>
        <w:adjustRightInd w:val="0"/>
        <w:spacing w:before="0" w:after="240"/>
        <w:ind w:left="1872" w:right="490"/>
        <w:rPr>
          <w:rFonts w:cs="Arial"/>
          <w:lang w:val="en-GB"/>
        </w:rPr>
      </w:pPr>
      <w:r w:rsidRPr="00805B4F">
        <w:rPr>
          <w:rFonts w:cs="Arial"/>
          <w:lang w:val="en-GB"/>
        </w:rPr>
        <w:t>If a company’s GHG emissions data are estimated by the provider rather than reported, that company is assigned a 5% penalty such that</w:t>
      </w:r>
    </w:p>
    <w:p w14:paraId="66CD4397" w14:textId="77777777" w:rsidR="00BB16EC" w:rsidRPr="00805B4F" w:rsidRDefault="00805B4F" w:rsidP="00BB16EC">
      <w:pPr>
        <w:tabs>
          <w:tab w:val="left" w:pos="1170"/>
          <w:tab w:val="left" w:pos="2970"/>
          <w:tab w:val="left" w:pos="3060"/>
          <w:tab w:val="left" w:pos="3330"/>
        </w:tabs>
        <w:adjustRightInd w:val="0"/>
        <w:spacing w:before="0" w:after="240"/>
        <w:ind w:left="1872" w:right="490"/>
        <w:rPr>
          <w:rFonts w:cs="Arial"/>
          <w:lang w:val="en-GB"/>
        </w:rPr>
      </w:pPr>
      <m:oMath>
        <m:sSub>
          <m:sSubPr>
            <m:ctrlPr>
              <w:rPr>
                <w:rFonts w:ascii="Cambria Math" w:hAnsi="Cambria Math" w:cs="Arial"/>
                <w:i/>
                <w:lang w:val="en-GB"/>
              </w:rPr>
            </m:ctrlPr>
          </m:sSubPr>
          <m:e>
            <m:r>
              <w:rPr>
                <w:rFonts w:ascii="Cambria Math" w:hAnsi="Cambria Math" w:cs="Arial"/>
                <w:lang w:val="en-GB"/>
              </w:rPr>
              <m:t>GHG, Estimated</m:t>
            </m:r>
          </m:e>
          <m:sub>
            <m:r>
              <w:rPr>
                <w:rFonts w:ascii="Cambria Math" w:hAnsi="Cambria Math" w:cs="Arial"/>
                <w:lang w:val="en-GB"/>
              </w:rPr>
              <m:t>i</m:t>
            </m:r>
          </m:sub>
        </m:sSub>
      </m:oMath>
      <w:r w:rsidR="00BB16EC" w:rsidRPr="00805B4F">
        <w:rPr>
          <w:rFonts w:cs="Arial"/>
          <w:lang w:val="en-GB"/>
        </w:rPr>
        <w:tab/>
        <w:t>=</w:t>
      </w:r>
      <w:r w:rsidR="00BB16EC" w:rsidRPr="00805B4F">
        <w:rPr>
          <w:rFonts w:cs="Arial"/>
          <w:lang w:val="en-GB"/>
        </w:rPr>
        <w:tab/>
      </w:r>
      <m:oMath>
        <m:sSub>
          <m:sSubPr>
            <m:ctrlPr>
              <w:rPr>
                <w:rFonts w:ascii="Cambria Math" w:hAnsi="Cambria Math" w:cs="Arial"/>
                <w:i/>
                <w:lang w:val="en-GB"/>
              </w:rPr>
            </m:ctrlPr>
          </m:sSubPr>
          <m:e>
            <m:r>
              <w:rPr>
                <w:rFonts w:ascii="Cambria Math" w:hAnsi="Cambria Math" w:cs="Arial"/>
                <w:lang w:val="en-GB"/>
              </w:rPr>
              <m:t>GHG</m:t>
            </m:r>
          </m:e>
          <m:sub>
            <m:r>
              <w:rPr>
                <w:rFonts w:ascii="Cambria Math" w:hAnsi="Cambria Math" w:cs="Arial"/>
                <w:lang w:val="en-GB"/>
              </w:rPr>
              <m:t>i</m:t>
            </m:r>
          </m:sub>
        </m:sSub>
        <m:r>
          <w:rPr>
            <w:rFonts w:ascii="Cambria Math" w:hAnsi="Cambria Math" w:cs="Arial"/>
            <w:lang w:val="en-GB"/>
          </w:rPr>
          <m:t xml:space="preserve"> ×1.05</m:t>
        </m:r>
      </m:oMath>
      <w:r w:rsidR="00BB16EC" w:rsidRPr="00805B4F">
        <w:rPr>
          <w:rFonts w:cs="Arial"/>
          <w:lang w:val="en-GB"/>
        </w:rPr>
        <w:tab/>
      </w:r>
    </w:p>
    <w:p w14:paraId="6BA6F1C3" w14:textId="77777777" w:rsidR="00BB16EC" w:rsidRPr="00805B4F" w:rsidRDefault="00805B4F" w:rsidP="00BB16EC">
      <w:pPr>
        <w:tabs>
          <w:tab w:val="left" w:pos="2970"/>
        </w:tabs>
        <w:adjustRightInd w:val="0"/>
        <w:spacing w:before="0" w:after="240"/>
        <w:ind w:left="3762" w:right="490" w:hanging="1890"/>
        <w:rPr>
          <w:rFonts w:cs="Arial"/>
          <w:lang w:val="en-GB"/>
        </w:rPr>
      </w:pPr>
      <m:oMath>
        <m:sSub>
          <m:sSubPr>
            <m:ctrlPr>
              <w:rPr>
                <w:rFonts w:ascii="Cambria Math" w:hAnsi="Cambria Math" w:cs="Arial"/>
                <w:i/>
                <w:lang w:val="en-GB"/>
              </w:rPr>
            </m:ctrlPr>
          </m:sSubPr>
          <m:e>
            <m:r>
              <w:rPr>
                <w:rFonts w:ascii="Cambria Math" w:hAnsi="Cambria Math" w:cs="Arial"/>
                <w:lang w:val="en-GB"/>
              </w:rPr>
              <m:t>Sales</m:t>
            </m:r>
          </m:e>
          <m:sub>
            <m:r>
              <w:rPr>
                <w:rFonts w:ascii="Cambria Math" w:hAnsi="Cambria Math" w:cs="Arial"/>
                <w:lang w:val="en-GB"/>
              </w:rPr>
              <m:t>i</m:t>
            </m:r>
          </m:sub>
        </m:sSub>
      </m:oMath>
      <w:r w:rsidR="00BB16EC" w:rsidRPr="00805B4F">
        <w:rPr>
          <w:rFonts w:cs="Arial"/>
          <w:lang w:val="en-GB"/>
        </w:rPr>
        <w:tab/>
        <w:t>=</w:t>
      </w:r>
      <w:r w:rsidR="00BB16EC" w:rsidRPr="00805B4F">
        <w:rPr>
          <w:rFonts w:cs="Arial"/>
          <w:lang w:val="en-GB"/>
        </w:rPr>
        <w:tab/>
        <w:t>Sales represents a company’s most recent reported sales in millions of dollars.</w:t>
      </w:r>
    </w:p>
    <w:p w14:paraId="7E95B3FB" w14:textId="77777777" w:rsidR="00BB16EC" w:rsidRPr="00805B4F" w:rsidRDefault="00BB16EC" w:rsidP="00BB16EC">
      <w:pPr>
        <w:numPr>
          <w:ilvl w:val="0"/>
          <w:numId w:val="22"/>
        </w:numPr>
        <w:tabs>
          <w:tab w:val="left" w:pos="900"/>
        </w:tabs>
        <w:autoSpaceDE w:val="0"/>
        <w:autoSpaceDN w:val="0"/>
        <w:adjustRightInd w:val="0"/>
        <w:spacing w:before="0" w:after="0"/>
        <w:ind w:right="495"/>
        <w:jc w:val="left"/>
        <w:rPr>
          <w:bCs/>
          <w:lang w:val="en-GB"/>
        </w:rPr>
      </w:pPr>
      <w:r w:rsidRPr="00805B4F">
        <w:rPr>
          <w:bCs/>
          <w:lang w:val="en-GB"/>
        </w:rPr>
        <w:t>Baseline and Index Carbon Intensity:</w:t>
      </w:r>
    </w:p>
    <w:p w14:paraId="5026A4FC" w14:textId="77777777" w:rsidR="00BB16EC" w:rsidRPr="00805B4F" w:rsidRDefault="00BB16EC" w:rsidP="00BB16EC">
      <w:pPr>
        <w:adjustRightInd w:val="0"/>
        <w:spacing w:before="0" w:after="240"/>
        <w:ind w:left="1800" w:right="490"/>
        <w:rPr>
          <w:rFonts w:cs="Arial"/>
          <w:lang w:val="en-GB"/>
        </w:rPr>
      </w:pPr>
      <w:r w:rsidRPr="00805B4F">
        <w:rPr>
          <w:rFonts w:cs="Arial"/>
          <w:lang w:val="en-GB"/>
        </w:rPr>
        <w:t>Baseline carbon intensity is the weighted average carbon intensity of a market capitalization weighted portfolio defined in step 3.</w:t>
      </w:r>
    </w:p>
    <w:p w14:paraId="75943AAD" w14:textId="77777777" w:rsidR="00BB16EC" w:rsidRPr="00805B4F" w:rsidRDefault="00BB16EC" w:rsidP="00BB16EC">
      <w:pPr>
        <w:adjustRightInd w:val="0"/>
        <w:spacing w:before="0" w:after="240"/>
        <w:ind w:left="1800" w:right="490"/>
        <w:rPr>
          <w:rFonts w:cs="Arial"/>
          <w:lang w:val="en-GB"/>
        </w:rPr>
      </w:pPr>
      <m:oMathPara>
        <m:oMathParaPr>
          <m:jc m:val="center"/>
        </m:oMathParaPr>
        <m:oMath>
          <m:r>
            <w:rPr>
              <w:rFonts w:ascii="Cambria Math" w:hAnsi="Cambria Math" w:cs="Arial"/>
              <w:lang w:val="en-GB"/>
            </w:rPr>
            <m:t>Baseline CI=</m:t>
          </m:r>
          <m:nary>
            <m:naryPr>
              <m:chr m:val="∑"/>
              <m:limLoc m:val="undOvr"/>
              <m:ctrlPr>
                <w:rPr>
                  <w:rFonts w:ascii="Cambria Math" w:hAnsi="Cambria Math" w:cs="Arial"/>
                  <w:i/>
                  <w:lang w:val="en-GB"/>
                </w:rPr>
              </m:ctrlPr>
            </m:naryPr>
            <m:sub>
              <m:r>
                <w:rPr>
                  <w:rFonts w:ascii="Cambria Math" w:hAnsi="Cambria Math" w:cs="Arial"/>
                  <w:lang w:val="en-GB"/>
                </w:rPr>
                <m:t>i=1</m:t>
              </m:r>
            </m:sub>
            <m:sup>
              <m:sSub>
                <m:sSubPr>
                  <m:ctrlPr>
                    <w:rPr>
                      <w:rFonts w:ascii="Cambria Math" w:hAnsi="Cambria Math" w:cs="Arial"/>
                      <w:i/>
                      <w:lang w:val="en-GB"/>
                    </w:rPr>
                  </m:ctrlPr>
                </m:sSubPr>
                <m:e>
                  <m:r>
                    <w:rPr>
                      <w:rFonts w:ascii="Cambria Math" w:hAnsi="Cambria Math" w:cs="Arial"/>
                      <w:lang w:val="en-GB"/>
                    </w:rPr>
                    <m:t>N</m:t>
                  </m:r>
                </m:e>
                <m:sub>
                  <m:r>
                    <w:rPr>
                      <w:rFonts w:ascii="Cambria Math" w:hAnsi="Cambria Math" w:cs="Arial"/>
                      <w:lang w:val="en-GB"/>
                    </w:rPr>
                    <m:t>MCap</m:t>
                  </m:r>
                </m:sub>
              </m:sSub>
            </m:sup>
            <m:e>
              <m:sSub>
                <m:sSubPr>
                  <m:ctrlPr>
                    <w:rPr>
                      <w:rFonts w:ascii="Cambria Math" w:hAnsi="Cambria Math" w:cs="Arial"/>
                      <w:i/>
                      <w:lang w:val="en-GB"/>
                    </w:rPr>
                  </m:ctrlPr>
                </m:sSubPr>
                <m:e>
                  <m:r>
                    <w:rPr>
                      <w:rFonts w:ascii="Cambria Math" w:hAnsi="Cambria Math" w:cs="Arial"/>
                      <w:lang w:val="en-GB"/>
                    </w:rPr>
                    <m:t>CI</m:t>
                  </m:r>
                </m:e>
                <m:sub>
                  <m:r>
                    <w:rPr>
                      <w:rFonts w:ascii="Cambria Math" w:hAnsi="Cambria Math" w:cs="Arial"/>
                      <w:lang w:val="en-GB"/>
                    </w:rPr>
                    <m:t>i</m:t>
                  </m:r>
                </m:sub>
              </m:sSub>
            </m:e>
          </m:nary>
          <m:r>
            <w:rPr>
              <w:rFonts w:ascii="Cambria Math" w:hAnsi="Cambria Math" w:cs="Arial"/>
              <w:lang w:val="en-GB"/>
            </w:rPr>
            <m:t xml:space="preserve"> × </m:t>
          </m:r>
          <m:sSubSup>
            <m:sSubSupPr>
              <m:ctrlPr>
                <w:rPr>
                  <w:rFonts w:ascii="Cambria Math" w:hAnsi="Cambria Math" w:cs="Arial"/>
                  <w:i/>
                  <w:lang w:val="en-GB"/>
                </w:rPr>
              </m:ctrlPr>
            </m:sSubSupPr>
            <m:e>
              <m:r>
                <w:rPr>
                  <w:rFonts w:ascii="Cambria Math" w:hAnsi="Cambria Math" w:cs="Arial"/>
                  <w:lang w:val="en-GB"/>
                </w:rPr>
                <m:t>w</m:t>
              </m:r>
            </m:e>
            <m:sub>
              <m:r>
                <w:rPr>
                  <w:rFonts w:ascii="Cambria Math" w:hAnsi="Cambria Math" w:cs="Arial"/>
                  <w:lang w:val="en-GB"/>
                </w:rPr>
                <m:t>i</m:t>
              </m:r>
            </m:sub>
            <m:sup>
              <m:r>
                <w:rPr>
                  <w:rFonts w:ascii="Cambria Math" w:hAnsi="Cambria Math" w:cs="Arial"/>
                  <w:lang w:val="en-GB"/>
                </w:rPr>
                <m:t>MCap</m:t>
              </m:r>
            </m:sup>
          </m:sSubSup>
        </m:oMath>
      </m:oMathPara>
    </w:p>
    <w:p w14:paraId="529BE499" w14:textId="77777777" w:rsidR="00BB16EC" w:rsidRPr="00805B4F" w:rsidRDefault="00BB16EC" w:rsidP="00BB16EC">
      <w:pPr>
        <w:adjustRightInd w:val="0"/>
        <w:spacing w:before="0" w:after="240"/>
        <w:ind w:left="1800" w:right="490"/>
        <w:rPr>
          <w:rFonts w:cs="Arial"/>
          <w:lang w:val="en-GB"/>
        </w:rPr>
      </w:pPr>
      <w:r w:rsidRPr="00805B4F">
        <w:rPr>
          <w:rFonts w:cs="Arial"/>
          <w:lang w:val="en-GB"/>
        </w:rPr>
        <w:t>The carbon intensity of the Underlying Index is the average carbon intensity of the Index constituents weighted by their corresponding portfolio weight such as</w:t>
      </w:r>
    </w:p>
    <w:p w14:paraId="419DB532" w14:textId="77777777" w:rsidR="00BB16EC" w:rsidRPr="00805B4F" w:rsidRDefault="00BB16EC" w:rsidP="00BB16EC">
      <w:pPr>
        <w:tabs>
          <w:tab w:val="left" w:pos="2970"/>
        </w:tabs>
        <w:adjustRightInd w:val="0"/>
        <w:spacing w:before="0" w:after="240"/>
        <w:ind w:left="1800" w:right="490"/>
        <w:rPr>
          <w:rFonts w:cs="Arial"/>
          <w:bCs/>
          <w:color w:val="606060"/>
          <w:lang w:val="en-GB"/>
        </w:rPr>
      </w:pPr>
      <m:oMathPara>
        <m:oMathParaPr>
          <m:jc m:val="center"/>
        </m:oMathParaPr>
        <m:oMath>
          <m:r>
            <w:rPr>
              <w:rFonts w:ascii="Cambria Math" w:hAnsi="Cambria Math" w:cs="Arial"/>
              <w:lang w:val="en-GB"/>
            </w:rPr>
            <m:t>Underlying Index CI=</m:t>
          </m:r>
          <m:nary>
            <m:naryPr>
              <m:chr m:val="∑"/>
              <m:limLoc m:val="undOvr"/>
              <m:ctrlPr>
                <w:rPr>
                  <w:rFonts w:ascii="Cambria Math" w:hAnsi="Cambria Math" w:cs="Arial"/>
                  <w:i/>
                  <w:lang w:val="en-GB"/>
                </w:rPr>
              </m:ctrlPr>
            </m:naryPr>
            <m:sub>
              <m:r>
                <w:rPr>
                  <w:rFonts w:ascii="Cambria Math" w:hAnsi="Cambria Math" w:cs="Arial"/>
                  <w:lang w:val="en-GB"/>
                </w:rPr>
                <m:t>i=1</m:t>
              </m:r>
            </m:sub>
            <m:sup>
              <m:sSub>
                <m:sSubPr>
                  <m:ctrlPr>
                    <w:rPr>
                      <w:rFonts w:ascii="Cambria Math" w:hAnsi="Cambria Math" w:cs="Arial"/>
                      <w:i/>
                      <w:lang w:val="en-GB"/>
                    </w:rPr>
                  </m:ctrlPr>
                </m:sSubPr>
                <m:e>
                  <m:r>
                    <w:rPr>
                      <w:rFonts w:ascii="Cambria Math" w:hAnsi="Cambria Math" w:cs="Arial"/>
                      <w:lang w:val="en-GB"/>
                    </w:rPr>
                    <m:t>N</m:t>
                  </m:r>
                </m:e>
                <m:sub>
                  <m:r>
                    <w:rPr>
                      <w:rFonts w:ascii="Cambria Math" w:hAnsi="Cambria Math" w:cs="Arial"/>
                      <w:lang w:val="en-GB"/>
                    </w:rPr>
                    <m:t>Index</m:t>
                  </m:r>
                </m:sub>
              </m:sSub>
            </m:sup>
            <m:e>
              <m:sSub>
                <m:sSubPr>
                  <m:ctrlPr>
                    <w:rPr>
                      <w:rFonts w:ascii="Cambria Math" w:hAnsi="Cambria Math" w:cs="Arial"/>
                      <w:i/>
                      <w:lang w:val="en-GB"/>
                    </w:rPr>
                  </m:ctrlPr>
                </m:sSubPr>
                <m:e>
                  <m:r>
                    <w:rPr>
                      <w:rFonts w:ascii="Cambria Math" w:hAnsi="Cambria Math" w:cs="Arial"/>
                      <w:lang w:val="en-GB"/>
                    </w:rPr>
                    <m:t>CI</m:t>
                  </m:r>
                </m:e>
                <m:sub>
                  <m:r>
                    <w:rPr>
                      <w:rFonts w:ascii="Cambria Math" w:hAnsi="Cambria Math" w:cs="Arial"/>
                      <w:lang w:val="en-GB"/>
                    </w:rPr>
                    <m:t>i</m:t>
                  </m:r>
                </m:sub>
              </m:sSub>
            </m:e>
          </m:nary>
          <m:r>
            <w:rPr>
              <w:rFonts w:ascii="Cambria Math" w:hAnsi="Cambria Math" w:cs="Arial"/>
              <w:lang w:val="en-GB"/>
            </w:rPr>
            <m:t xml:space="preserve"> × </m:t>
          </m:r>
          <m:sSubSup>
            <m:sSubSupPr>
              <m:ctrlPr>
                <w:rPr>
                  <w:rFonts w:ascii="Cambria Math" w:hAnsi="Cambria Math" w:cs="Arial"/>
                  <w:i/>
                  <w:lang w:val="en-GB"/>
                </w:rPr>
              </m:ctrlPr>
            </m:sSubSupPr>
            <m:e>
              <m:r>
                <w:rPr>
                  <w:rFonts w:ascii="Cambria Math" w:hAnsi="Cambria Math" w:cs="Arial"/>
                  <w:lang w:val="en-GB"/>
                </w:rPr>
                <m:t>w</m:t>
              </m:r>
            </m:e>
            <m:sub>
              <m:r>
                <w:rPr>
                  <w:rFonts w:ascii="Cambria Math" w:hAnsi="Cambria Math" w:cs="Arial"/>
                  <w:lang w:val="en-GB"/>
                </w:rPr>
                <m:t>i</m:t>
              </m:r>
            </m:sub>
            <m:sup>
              <m:r>
                <w:rPr>
                  <w:rFonts w:ascii="Cambria Math" w:hAnsi="Cambria Math" w:cs="Arial"/>
                  <w:lang w:val="en-GB"/>
                </w:rPr>
                <m:t>index</m:t>
              </m:r>
            </m:sup>
          </m:sSubSup>
        </m:oMath>
      </m:oMathPara>
    </w:p>
    <w:p w14:paraId="5A3D236B" w14:textId="77777777" w:rsidR="00BB16EC" w:rsidRPr="00805B4F" w:rsidRDefault="00BB16EC" w:rsidP="00BB16EC">
      <w:pPr>
        <w:numPr>
          <w:ilvl w:val="0"/>
          <w:numId w:val="22"/>
        </w:numPr>
        <w:tabs>
          <w:tab w:val="left" w:pos="900"/>
        </w:tabs>
        <w:autoSpaceDE w:val="0"/>
        <w:autoSpaceDN w:val="0"/>
        <w:adjustRightInd w:val="0"/>
        <w:spacing w:before="0" w:after="0"/>
        <w:ind w:right="495"/>
        <w:jc w:val="left"/>
        <w:rPr>
          <w:bCs/>
          <w:lang w:val="en-GB"/>
        </w:rPr>
      </w:pPr>
      <w:r w:rsidRPr="00805B4F">
        <w:rPr>
          <w:bCs/>
          <w:lang w:val="en-GB"/>
        </w:rPr>
        <w:t>Construction of Market Capitalization Weighted Strategy for Determining Baseline Carbon Intensity:</w:t>
      </w:r>
    </w:p>
    <w:p w14:paraId="76849B0E" w14:textId="77777777" w:rsidR="00BB16EC" w:rsidRPr="00805B4F" w:rsidRDefault="00BB16EC" w:rsidP="00BB16EC">
      <w:pPr>
        <w:adjustRightInd w:val="0"/>
        <w:spacing w:before="0" w:after="240"/>
        <w:ind w:left="1800" w:right="490"/>
        <w:rPr>
          <w:rFonts w:cs="Arial"/>
          <w:lang w:val="en-GB"/>
        </w:rPr>
      </w:pPr>
      <w:r w:rsidRPr="00805B4F">
        <w:rPr>
          <w:rFonts w:cs="Arial"/>
          <w:lang w:val="en-GB"/>
        </w:rPr>
        <w:t>For the purposes of determining Baseline CI, a market capitalization portfolio is constructed. Eligible companies classified as large/mid company by market capitalization weight within the Developed Eurozone country group make up the constituents of this portfolio. Selected constituents are weighted by free-float adjusted market capitalization weight as described in Section 2.4.1.</w:t>
      </w:r>
    </w:p>
    <w:p w14:paraId="583D6A76" w14:textId="77777777" w:rsidR="00BB16EC" w:rsidRPr="00805B4F" w:rsidRDefault="00BB16EC" w:rsidP="00BB16EC">
      <w:pPr>
        <w:numPr>
          <w:ilvl w:val="0"/>
          <w:numId w:val="22"/>
        </w:numPr>
        <w:tabs>
          <w:tab w:val="left" w:pos="900"/>
        </w:tabs>
        <w:autoSpaceDE w:val="0"/>
        <w:autoSpaceDN w:val="0"/>
        <w:adjustRightInd w:val="0"/>
        <w:spacing w:before="0" w:after="0"/>
        <w:ind w:right="495"/>
        <w:jc w:val="left"/>
        <w:rPr>
          <w:bCs/>
          <w:color w:val="606060"/>
          <w:lang w:val="en-GB"/>
        </w:rPr>
      </w:pPr>
      <w:r w:rsidRPr="00805B4F">
        <w:rPr>
          <w:bCs/>
          <w:lang w:val="en-GB"/>
        </w:rPr>
        <w:t>Target Carbon Intensity:</w:t>
      </w:r>
    </w:p>
    <w:p w14:paraId="472A0CCE" w14:textId="77777777" w:rsidR="00BB16EC" w:rsidRPr="00805B4F" w:rsidRDefault="00BB16EC" w:rsidP="00BB16EC">
      <w:pPr>
        <w:adjustRightInd w:val="0"/>
        <w:spacing w:before="0" w:after="240"/>
        <w:ind w:left="1800" w:right="490"/>
        <w:rPr>
          <w:rFonts w:cs="Arial"/>
          <w:lang w:val="en-GB"/>
        </w:rPr>
      </w:pPr>
      <w:r w:rsidRPr="00805B4F">
        <w:rPr>
          <w:rFonts w:cs="Arial"/>
          <w:lang w:val="en-GB"/>
        </w:rPr>
        <w:t>The target carbon intensity is calculated as follows each quarter:</w:t>
      </w:r>
    </w:p>
    <w:p w14:paraId="333A0FCE" w14:textId="77777777" w:rsidR="00BB16EC" w:rsidRPr="00805B4F" w:rsidRDefault="00805B4F" w:rsidP="00BB16EC">
      <w:pPr>
        <w:adjustRightInd w:val="0"/>
        <w:spacing w:before="0" w:after="240"/>
        <w:ind w:left="1800" w:right="490"/>
        <w:jc w:val="center"/>
        <w:rPr>
          <w:rFonts w:cs="Arial"/>
          <w:lang w:val="en-GB"/>
        </w:rPr>
      </w:pPr>
      <m:oMathPara>
        <m:oMath>
          <m:sSub>
            <m:sSubPr>
              <m:ctrlPr>
                <w:rPr>
                  <w:rFonts w:ascii="Cambria Math" w:hAnsi="Cambria Math" w:cs="Arial"/>
                  <w:i/>
                  <w:lang w:val="en-GB"/>
                </w:rPr>
              </m:ctrlPr>
            </m:sSubPr>
            <m:e>
              <m:r>
                <w:rPr>
                  <w:rFonts w:ascii="Cambria Math" w:hAnsi="Cambria Math" w:cs="Arial"/>
                  <w:lang w:val="en-GB"/>
                </w:rPr>
                <m:t>Target CI</m:t>
              </m:r>
            </m:e>
            <m:sub>
              <m:r>
                <w:rPr>
                  <w:rFonts w:ascii="Cambria Math" w:hAnsi="Cambria Math" w:cs="Arial"/>
                  <w:lang w:val="en-GB"/>
                </w:rPr>
                <m:t>t</m:t>
              </m:r>
            </m:sub>
          </m:sSub>
          <m:r>
            <w:rPr>
              <w:rFonts w:ascii="Cambria Math" w:hAnsi="Cambria Math" w:cs="Arial"/>
              <w:lang w:val="en-GB"/>
            </w:rPr>
            <m:t>=</m:t>
          </m:r>
          <m:func>
            <m:funcPr>
              <m:ctrlPr>
                <w:rPr>
                  <w:rFonts w:ascii="Cambria Math" w:hAnsi="Cambria Math" w:cs="Arial"/>
                  <w:i/>
                  <w:lang w:val="en-GB"/>
                </w:rPr>
              </m:ctrlPr>
            </m:funcPr>
            <m:fName>
              <m:r>
                <m:rPr>
                  <m:sty m:val="p"/>
                </m:rPr>
                <w:rPr>
                  <w:rFonts w:ascii="Cambria Math" w:hAnsi="Cambria Math" w:cs="Arial"/>
                  <w:lang w:val="en-GB"/>
                </w:rPr>
                <m:t>min</m:t>
              </m:r>
            </m:fName>
            <m:e>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Baseline CI</m:t>
                  </m:r>
                </m:e>
                <m:sub>
                  <m:r>
                    <w:rPr>
                      <w:rFonts w:ascii="Cambria Math" w:hAnsi="Cambria Math" w:cs="Arial"/>
                      <w:lang w:val="en-GB"/>
                    </w:rPr>
                    <m:t>t</m:t>
                  </m:r>
                </m:sub>
              </m:sSub>
              <m:r>
                <w:rPr>
                  <w:rFonts w:ascii="Cambria Math" w:hAnsi="Cambria Math" w:cs="Arial"/>
                  <w:lang w:val="en-GB"/>
                </w:rPr>
                <m:t xml:space="preserve">, </m:t>
              </m:r>
              <m:sSub>
                <m:sSubPr>
                  <m:ctrlPr>
                    <w:rPr>
                      <w:rFonts w:ascii="Cambria Math" w:hAnsi="Cambria Math" w:cs="Arial"/>
                      <w:i/>
                      <w:lang w:val="en-GB"/>
                    </w:rPr>
                  </m:ctrlPr>
                </m:sSubPr>
                <m:e>
                  <m:r>
                    <w:rPr>
                      <w:rFonts w:ascii="Cambria Math" w:hAnsi="Cambria Math" w:cs="Arial"/>
                      <w:lang w:val="en-GB"/>
                    </w:rPr>
                    <m:t>Underlying Index CI</m:t>
                  </m:r>
                </m:e>
                <m:sub>
                  <m:r>
                    <w:rPr>
                      <w:rFonts w:ascii="Cambria Math" w:hAnsi="Cambria Math" w:cs="Arial"/>
                      <w:lang w:val="en-GB"/>
                    </w:rPr>
                    <m:t>t</m:t>
                  </m:r>
                </m:sub>
              </m:sSub>
            </m:e>
          </m:func>
          <m:r>
            <w:rPr>
              <w:rFonts w:ascii="Cambria Math" w:hAnsi="Cambria Math" w:cs="Arial"/>
              <w:lang w:val="en-GB"/>
            </w:rPr>
            <m:t>)</m:t>
          </m:r>
        </m:oMath>
      </m:oMathPara>
    </w:p>
    <w:p w14:paraId="557D2AED" w14:textId="77777777" w:rsidR="00BB16EC" w:rsidRPr="00805B4F" w:rsidRDefault="00BB16EC" w:rsidP="00BB16EC">
      <w:pPr>
        <w:numPr>
          <w:ilvl w:val="0"/>
          <w:numId w:val="22"/>
        </w:numPr>
        <w:tabs>
          <w:tab w:val="left" w:pos="900"/>
        </w:tabs>
        <w:autoSpaceDE w:val="0"/>
        <w:autoSpaceDN w:val="0"/>
        <w:adjustRightInd w:val="0"/>
        <w:spacing w:before="0" w:after="0"/>
        <w:ind w:right="495"/>
        <w:jc w:val="left"/>
        <w:rPr>
          <w:bCs/>
          <w:color w:val="606060"/>
          <w:lang w:val="en-GB"/>
        </w:rPr>
      </w:pPr>
      <w:r w:rsidRPr="00805B4F">
        <w:rPr>
          <w:bCs/>
          <w:lang w:val="en-GB"/>
        </w:rPr>
        <w:t>Index Tilt Methodology:</w:t>
      </w:r>
    </w:p>
    <w:p w14:paraId="3DE49ED0" w14:textId="77777777" w:rsidR="00BB16EC" w:rsidRPr="00805B4F" w:rsidRDefault="00BB16EC" w:rsidP="00BB16EC">
      <w:pPr>
        <w:keepNext/>
        <w:adjustRightInd w:val="0"/>
        <w:spacing w:before="0" w:after="240"/>
        <w:ind w:left="1800" w:right="490"/>
        <w:rPr>
          <w:rFonts w:cs="Arial"/>
          <w:lang w:val="en-GB"/>
        </w:rPr>
      </w:pPr>
      <w:r w:rsidRPr="00805B4F">
        <w:rPr>
          <w:rFonts w:cs="Arial"/>
          <w:lang w:val="en-GB"/>
        </w:rPr>
        <w:lastRenderedPageBreak/>
        <w:t>If the Underlying Index carbon intensity is higher than the baseline carbon intensity as defined in Section 3.1.2, a tilt toward lower carbon intensity companies is applied as follows:</w:t>
      </w:r>
    </w:p>
    <w:p w14:paraId="06AD6DCE" w14:textId="77777777" w:rsidR="00BB16EC" w:rsidRPr="00805B4F" w:rsidRDefault="00805B4F" w:rsidP="00BB16EC">
      <w:pPr>
        <w:adjustRightInd w:val="0"/>
        <w:spacing w:before="0" w:after="240"/>
        <w:ind w:left="1800" w:right="490"/>
        <w:rPr>
          <w:rFonts w:cs="Arial"/>
          <w:lang w:val="en-GB"/>
        </w:rPr>
      </w:pPr>
      <m:oMathPara>
        <m:oMath>
          <m:sSubSup>
            <m:sSubSupPr>
              <m:ctrlPr>
                <w:rPr>
                  <w:rFonts w:ascii="Cambria Math" w:hAnsi="Cambria Math" w:cs="Arial"/>
                  <w:i/>
                  <w:lang w:val="en-GB"/>
                </w:rPr>
              </m:ctrlPr>
            </m:sSubSupPr>
            <m:e>
              <m:r>
                <w:rPr>
                  <w:rFonts w:ascii="Cambria Math" w:hAnsi="Cambria Math" w:cs="Arial"/>
                  <w:lang w:val="en-GB"/>
                </w:rPr>
                <m:t>w</m:t>
              </m:r>
            </m:e>
            <m:sub>
              <m:r>
                <w:rPr>
                  <w:rFonts w:ascii="Cambria Math" w:hAnsi="Cambria Math" w:cs="Arial"/>
                  <w:lang w:val="en-GB"/>
                </w:rPr>
                <m:t>i</m:t>
              </m:r>
            </m:sub>
            <m:sup>
              <m:r>
                <w:rPr>
                  <w:rFonts w:ascii="Cambria Math" w:hAnsi="Cambria Math" w:cs="Arial"/>
                  <w:lang w:val="en-GB"/>
                </w:rPr>
                <m:t>Index</m:t>
              </m:r>
            </m:sup>
          </m:sSubSup>
          <m:r>
            <w:rPr>
              <w:rFonts w:ascii="Cambria Math" w:hAnsi="Cambria Math" w:cs="Arial"/>
              <w:lang w:val="en-GB"/>
            </w:rPr>
            <m:t xml:space="preserve"> = </m:t>
          </m:r>
          <m:d>
            <m:dPr>
              <m:begChr m:val="{"/>
              <m:endChr m:val=""/>
              <m:ctrlPr>
                <w:rPr>
                  <w:rFonts w:ascii="Cambria Math" w:hAnsi="Cambria Math" w:cs="Arial"/>
                  <w:i/>
                  <w:lang w:val="en-GB"/>
                </w:rPr>
              </m:ctrlPr>
            </m:dPr>
            <m:e>
              <m:m>
                <m:mPr>
                  <m:mcs>
                    <m:mc>
                      <m:mcPr>
                        <m:count m:val="1"/>
                        <m:mcJc m:val="center"/>
                      </m:mcPr>
                    </m:mc>
                  </m:mcs>
                  <m:ctrlPr>
                    <w:rPr>
                      <w:rFonts w:ascii="Cambria Math" w:hAnsi="Cambria Math" w:cs="Arial"/>
                      <w:i/>
                      <w:lang w:val="en-GB"/>
                    </w:rPr>
                  </m:ctrlPr>
                </m:mPr>
                <m:mr>
                  <m:e>
                    <m:sSubSup>
                      <m:sSubSupPr>
                        <m:ctrlPr>
                          <w:rPr>
                            <w:rFonts w:ascii="Cambria Math" w:hAnsi="Cambria Math" w:cs="Arial"/>
                            <w:i/>
                            <w:lang w:val="en-GB"/>
                          </w:rPr>
                        </m:ctrlPr>
                      </m:sSubSupPr>
                      <m:e>
                        <m:r>
                          <w:rPr>
                            <w:rFonts w:ascii="Cambria Math" w:hAnsi="Cambria Math" w:cs="Arial"/>
                            <w:lang w:val="en-GB"/>
                          </w:rPr>
                          <m:t>w</m:t>
                        </m:r>
                      </m:e>
                      <m:sub>
                        <m:r>
                          <w:rPr>
                            <w:rFonts w:ascii="Cambria Math" w:hAnsi="Cambria Math" w:cs="Arial"/>
                            <w:lang w:val="en-GB"/>
                          </w:rPr>
                          <m:t>i</m:t>
                        </m:r>
                      </m:sub>
                      <m:sup>
                        <m:r>
                          <w:rPr>
                            <w:rFonts w:ascii="Cambria Math" w:hAnsi="Cambria Math" w:cs="Arial"/>
                            <w:lang w:val="en-GB"/>
                          </w:rPr>
                          <m:t>Index</m:t>
                        </m:r>
                      </m:sup>
                    </m:sSubSup>
                    <m:r>
                      <w:rPr>
                        <w:rFonts w:ascii="Cambria Math" w:hAnsi="Cambria Math" w:cs="Arial"/>
                        <w:lang w:val="en-GB"/>
                      </w:rPr>
                      <m:t xml:space="preserve"> </m:t>
                    </m:r>
                    <m:r>
                      <m:rPr>
                        <m:sty m:val="p"/>
                      </m:rPr>
                      <w:rPr>
                        <w:rFonts w:ascii="Cambria Math" w:hAnsi="Cambria Math" w:cs="Arial"/>
                        <w:lang w:val="en-GB"/>
                      </w:rPr>
                      <m:t>×</m:t>
                    </m:r>
                    <m:r>
                      <w:rPr>
                        <w:rFonts w:ascii="Cambria Math" w:hAnsi="Cambria Math" w:cs="Arial"/>
                        <w:lang w:val="en-GB"/>
                      </w:rPr>
                      <m:t xml:space="preserve"> </m:t>
                    </m:r>
                    <m:sSup>
                      <m:sSupPr>
                        <m:ctrlPr>
                          <w:rPr>
                            <w:rFonts w:ascii="Cambria Math" w:hAnsi="Cambria Math" w:cs="Arial"/>
                            <w:i/>
                            <w:lang w:val="en-GB"/>
                          </w:rPr>
                        </m:ctrlPr>
                      </m:sSupPr>
                      <m:e>
                        <m:d>
                          <m:dPr>
                            <m:ctrlPr>
                              <w:rPr>
                                <w:rFonts w:ascii="Cambria Math" w:hAnsi="Cambria Math" w:cs="Arial"/>
                                <w:i/>
                                <w:lang w:val="en-GB"/>
                              </w:rPr>
                            </m:ctrlPr>
                          </m:dPr>
                          <m:e>
                            <m:r>
                              <w:rPr>
                                <w:rFonts w:ascii="Cambria Math" w:hAnsi="Cambria Math" w:cs="Arial"/>
                                <w:lang w:val="en-GB"/>
                              </w:rPr>
                              <m:t>1+</m:t>
                            </m:r>
                            <m:sSub>
                              <m:sSubPr>
                                <m:ctrlPr>
                                  <w:rPr>
                                    <w:rFonts w:ascii="Cambria Math" w:hAnsi="Cambria Math" w:cs="Arial"/>
                                    <w:i/>
                                    <w:lang w:val="en-GB"/>
                                  </w:rPr>
                                </m:ctrlPr>
                              </m:sSubPr>
                              <m:e>
                                <m:r>
                                  <w:rPr>
                                    <w:rFonts w:ascii="Cambria Math" w:hAnsi="Cambria Math" w:cs="Arial"/>
                                    <w:lang w:val="en-GB"/>
                                  </w:rPr>
                                  <m:t>mZ</m:t>
                                </m:r>
                              </m:e>
                              <m:sub>
                                <m:r>
                                  <w:rPr>
                                    <w:rFonts w:ascii="Cambria Math" w:hAnsi="Cambria Math" w:cs="Arial"/>
                                    <w:lang w:val="en-GB"/>
                                  </w:rPr>
                                  <m:t>i</m:t>
                                </m:r>
                              </m:sub>
                            </m:sSub>
                          </m:e>
                        </m:d>
                      </m:e>
                      <m:sup>
                        <m:r>
                          <w:rPr>
                            <w:rFonts w:ascii="Cambria Math" w:hAnsi="Cambria Math" w:cs="Arial"/>
                            <w:lang w:val="en-GB"/>
                          </w:rPr>
                          <m:t xml:space="preserve">λ </m:t>
                        </m:r>
                      </m:sup>
                    </m:sSup>
                    <m:r>
                      <w:rPr>
                        <w:rFonts w:ascii="Cambria Math" w:hAnsi="Cambria Math" w:cs="Arial"/>
                        <w:lang w:val="en-GB"/>
                      </w:rPr>
                      <m:t xml:space="preserve"> if </m:t>
                    </m:r>
                    <m:sSub>
                      <m:sSubPr>
                        <m:ctrlPr>
                          <w:rPr>
                            <w:rFonts w:ascii="Cambria Math" w:hAnsi="Cambria Math" w:cs="Arial"/>
                            <w:i/>
                            <w:lang w:val="en-GB"/>
                          </w:rPr>
                        </m:ctrlPr>
                      </m:sSubPr>
                      <m:e>
                        <m:r>
                          <w:rPr>
                            <w:rFonts w:ascii="Cambria Math" w:hAnsi="Cambria Math" w:cs="Arial"/>
                            <w:lang w:val="en-GB"/>
                          </w:rPr>
                          <m:t>mZ</m:t>
                        </m:r>
                      </m:e>
                      <m:sub>
                        <m:r>
                          <w:rPr>
                            <w:rFonts w:ascii="Cambria Math" w:hAnsi="Cambria Math" w:cs="Arial"/>
                            <w:lang w:val="en-GB"/>
                          </w:rPr>
                          <m:t>i</m:t>
                        </m:r>
                      </m:sub>
                    </m:sSub>
                    <m:r>
                      <w:rPr>
                        <w:rFonts w:ascii="Cambria Math" w:hAnsi="Cambria Math" w:cs="Arial"/>
                        <w:lang w:val="en-GB"/>
                      </w:rPr>
                      <m:t xml:space="preserve"> ≥0</m:t>
                    </m:r>
                  </m:e>
                </m:mr>
                <m:mr>
                  <m:e>
                    <m:sSubSup>
                      <m:sSubSupPr>
                        <m:ctrlPr>
                          <w:rPr>
                            <w:rFonts w:ascii="Cambria Math" w:hAnsi="Cambria Math" w:cs="Arial"/>
                            <w:i/>
                            <w:lang w:val="en-GB"/>
                          </w:rPr>
                        </m:ctrlPr>
                      </m:sSubSupPr>
                      <m:e>
                        <m:r>
                          <w:rPr>
                            <w:rFonts w:ascii="Cambria Math" w:hAnsi="Cambria Math" w:cs="Arial"/>
                            <w:lang w:val="en-GB"/>
                          </w:rPr>
                          <m:t>w</m:t>
                        </m:r>
                      </m:e>
                      <m:sub>
                        <m:r>
                          <w:rPr>
                            <w:rFonts w:ascii="Cambria Math" w:hAnsi="Cambria Math" w:cs="Arial"/>
                            <w:lang w:val="en-GB"/>
                          </w:rPr>
                          <m:t>i</m:t>
                        </m:r>
                      </m:sub>
                      <m:sup>
                        <m:r>
                          <w:rPr>
                            <w:rFonts w:ascii="Cambria Math" w:hAnsi="Cambria Math" w:cs="Arial"/>
                            <w:lang w:val="en-GB"/>
                          </w:rPr>
                          <m:t>Index</m:t>
                        </m:r>
                      </m:sup>
                    </m:sSubSup>
                    <m:r>
                      <w:rPr>
                        <w:rFonts w:ascii="Cambria Math" w:hAnsi="Cambria Math" w:cs="Arial"/>
                        <w:lang w:val="en-GB"/>
                      </w:rPr>
                      <m:t xml:space="preserve"> </m:t>
                    </m:r>
                    <m:r>
                      <m:rPr>
                        <m:sty m:val="p"/>
                      </m:rPr>
                      <w:rPr>
                        <w:rFonts w:ascii="Cambria Math" w:hAnsi="Cambria Math" w:cs="Arial"/>
                        <w:lang w:val="en-GB"/>
                      </w:rPr>
                      <m:t>×</m:t>
                    </m:r>
                    <m:r>
                      <w:rPr>
                        <w:rFonts w:ascii="Cambria Math" w:hAnsi="Cambria Math" w:cs="Arial"/>
                        <w:lang w:val="en-GB"/>
                      </w:rPr>
                      <m:t xml:space="preserve"> </m:t>
                    </m:r>
                    <m:f>
                      <m:fPr>
                        <m:ctrlPr>
                          <w:rPr>
                            <w:rFonts w:ascii="Cambria Math" w:hAnsi="Cambria Math" w:cs="Arial"/>
                            <w:i/>
                            <w:lang w:val="en-GB"/>
                          </w:rPr>
                        </m:ctrlPr>
                      </m:fPr>
                      <m:num>
                        <m:r>
                          <w:rPr>
                            <w:rFonts w:ascii="Cambria Math" w:hAnsi="Cambria Math" w:cs="Arial"/>
                            <w:lang w:val="en-GB"/>
                          </w:rPr>
                          <m:t>1</m:t>
                        </m:r>
                      </m:num>
                      <m:den>
                        <m:sSup>
                          <m:sSupPr>
                            <m:ctrlPr>
                              <w:rPr>
                                <w:rFonts w:ascii="Cambria Math" w:hAnsi="Cambria Math" w:cs="Arial"/>
                                <w:i/>
                                <w:lang w:val="en-GB"/>
                              </w:rPr>
                            </m:ctrlPr>
                          </m:sSupPr>
                          <m:e>
                            <m:d>
                              <m:dPr>
                                <m:ctrlPr>
                                  <w:rPr>
                                    <w:rFonts w:ascii="Cambria Math" w:hAnsi="Cambria Math" w:cs="Arial"/>
                                    <w:i/>
                                    <w:lang w:val="en-GB"/>
                                  </w:rPr>
                                </m:ctrlPr>
                              </m:dPr>
                              <m:e>
                                <m:r>
                                  <w:rPr>
                                    <w:rFonts w:ascii="Cambria Math" w:hAnsi="Cambria Math" w:cs="Arial"/>
                                    <w:lang w:val="en-GB"/>
                                  </w:rPr>
                                  <m:t>1-</m:t>
                                </m:r>
                                <m:sSub>
                                  <m:sSubPr>
                                    <m:ctrlPr>
                                      <w:rPr>
                                        <w:rFonts w:ascii="Cambria Math" w:hAnsi="Cambria Math" w:cs="Arial"/>
                                        <w:i/>
                                        <w:lang w:val="en-GB"/>
                                      </w:rPr>
                                    </m:ctrlPr>
                                  </m:sSubPr>
                                  <m:e>
                                    <m:r>
                                      <w:rPr>
                                        <w:rFonts w:ascii="Cambria Math" w:hAnsi="Cambria Math" w:cs="Arial"/>
                                        <w:lang w:val="en-GB"/>
                                      </w:rPr>
                                      <m:t>mZ</m:t>
                                    </m:r>
                                  </m:e>
                                  <m:sub>
                                    <m:r>
                                      <w:rPr>
                                        <w:rFonts w:ascii="Cambria Math" w:hAnsi="Cambria Math" w:cs="Arial"/>
                                        <w:lang w:val="en-GB"/>
                                      </w:rPr>
                                      <m:t>i</m:t>
                                    </m:r>
                                  </m:sub>
                                </m:sSub>
                              </m:e>
                            </m:d>
                          </m:e>
                          <m:sup>
                            <m:r>
                              <w:rPr>
                                <w:rFonts w:ascii="Cambria Math" w:hAnsi="Cambria Math" w:cs="Arial"/>
                                <w:lang w:val="en-GB"/>
                              </w:rPr>
                              <m:t>λ</m:t>
                            </m:r>
                          </m:sup>
                        </m:sSup>
                      </m:den>
                    </m:f>
                    <m:r>
                      <w:rPr>
                        <w:rFonts w:ascii="Cambria Math" w:hAnsi="Cambria Math" w:cs="Arial"/>
                        <w:lang w:val="en-GB"/>
                      </w:rPr>
                      <m:t xml:space="preserve"> if </m:t>
                    </m:r>
                    <m:sSub>
                      <m:sSubPr>
                        <m:ctrlPr>
                          <w:rPr>
                            <w:rFonts w:ascii="Cambria Math" w:hAnsi="Cambria Math" w:cs="Arial"/>
                            <w:i/>
                            <w:lang w:val="en-GB"/>
                          </w:rPr>
                        </m:ctrlPr>
                      </m:sSubPr>
                      <m:e>
                        <m:r>
                          <w:rPr>
                            <w:rFonts w:ascii="Cambria Math" w:hAnsi="Cambria Math" w:cs="Arial"/>
                            <w:lang w:val="en-GB"/>
                          </w:rPr>
                          <m:t>mZ</m:t>
                        </m:r>
                      </m:e>
                      <m:sub>
                        <m:r>
                          <w:rPr>
                            <w:rFonts w:ascii="Cambria Math" w:hAnsi="Cambria Math" w:cs="Arial"/>
                            <w:lang w:val="en-GB"/>
                          </w:rPr>
                          <m:t>i</m:t>
                        </m:r>
                      </m:sub>
                    </m:sSub>
                    <m:r>
                      <w:rPr>
                        <w:rFonts w:ascii="Cambria Math" w:hAnsi="Cambria Math" w:cs="Arial"/>
                        <w:lang w:val="en-GB"/>
                      </w:rPr>
                      <m:t xml:space="preserve"> &lt;0</m:t>
                    </m:r>
                  </m:e>
                </m:mr>
              </m:m>
            </m:e>
          </m:d>
          <m:r>
            <w:rPr>
              <w:rFonts w:ascii="Cambria Math" w:hAnsi="Cambria Math" w:cs="Arial"/>
              <w:lang w:val="en-GB"/>
            </w:rPr>
            <m:t xml:space="preserve"> </m:t>
          </m:r>
        </m:oMath>
      </m:oMathPara>
    </w:p>
    <w:p w14:paraId="465A1BF4" w14:textId="77777777" w:rsidR="00BB16EC" w:rsidRPr="00805B4F" w:rsidRDefault="00BB16EC" w:rsidP="00BB16EC">
      <w:pPr>
        <w:adjustRightInd w:val="0"/>
        <w:spacing w:before="0" w:after="240"/>
        <w:ind w:left="1800" w:right="490"/>
        <w:rPr>
          <w:rFonts w:cs="Arial"/>
          <w:lang w:val="en-GB"/>
        </w:rPr>
      </w:pPr>
      <w:r w:rsidRPr="00805B4F">
        <w:rPr>
          <w:rFonts w:cs="Arial"/>
          <w:lang w:val="en-GB"/>
        </w:rPr>
        <w:t>Where:</w:t>
      </w:r>
    </w:p>
    <w:p w14:paraId="09EF2840" w14:textId="77777777" w:rsidR="00BB16EC" w:rsidRPr="00805B4F" w:rsidRDefault="00805B4F" w:rsidP="00BB16EC">
      <w:pPr>
        <w:tabs>
          <w:tab w:val="left" w:pos="2160"/>
          <w:tab w:val="left" w:pos="2430"/>
          <w:tab w:val="left" w:pos="2520"/>
        </w:tabs>
        <w:adjustRightInd w:val="0"/>
        <w:spacing w:before="0" w:after="240"/>
        <w:ind w:left="1800" w:right="490"/>
        <w:rPr>
          <w:rFonts w:cs="Arial"/>
          <w:lang w:val="en-GB"/>
        </w:rPr>
      </w:pPr>
      <m:oMath>
        <m:sSub>
          <m:sSubPr>
            <m:ctrlPr>
              <w:rPr>
                <w:rFonts w:ascii="Cambria Math" w:hAnsi="Cambria Math" w:cs="Arial"/>
                <w:lang w:val="en-GB"/>
              </w:rPr>
            </m:ctrlPr>
          </m:sSubPr>
          <m:e>
            <m:r>
              <w:rPr>
                <w:rFonts w:ascii="Cambria Math" w:hAnsi="Cambria Math" w:cs="Arial"/>
                <w:lang w:val="en-GB"/>
              </w:rPr>
              <m:t>mZ</m:t>
            </m:r>
          </m:e>
          <m:sub>
            <m:r>
              <w:rPr>
                <w:rFonts w:ascii="Cambria Math" w:hAnsi="Cambria Math" w:cs="Arial"/>
                <w:lang w:val="en-GB"/>
              </w:rPr>
              <m:t>i</m:t>
            </m:r>
          </m:sub>
        </m:sSub>
      </m:oMath>
      <w:r w:rsidR="00BB16EC" w:rsidRPr="00805B4F">
        <w:rPr>
          <w:rFonts w:cs="Arial"/>
          <w:lang w:val="en-GB"/>
        </w:rPr>
        <w:tab/>
        <w:t xml:space="preserve">= </w:t>
      </w:r>
      <w:r w:rsidR="00BB16EC" w:rsidRPr="00805B4F">
        <w:rPr>
          <w:rFonts w:cs="Arial"/>
          <w:lang w:val="en-GB"/>
        </w:rPr>
        <w:tab/>
        <w:t xml:space="preserve">modified </w:t>
      </w:r>
      <w:r w:rsidR="00BB16EC" w:rsidRPr="00805B4F">
        <w:rPr>
          <w:rFonts w:cs="Arial"/>
          <w:i/>
          <w:lang w:val="en-GB"/>
        </w:rPr>
        <w:t>z</w:t>
      </w:r>
      <w:r w:rsidR="00BB16EC" w:rsidRPr="00805B4F">
        <w:rPr>
          <w:rFonts w:cs="Arial"/>
          <w:lang w:val="en-GB"/>
        </w:rPr>
        <w:t>-score, which is the standardized log of carbon intensity after taking into account its distribution,</w:t>
      </w:r>
    </w:p>
    <w:p w14:paraId="36E7D31A" w14:textId="77777777" w:rsidR="00BB16EC" w:rsidRPr="00805B4F" w:rsidRDefault="00805B4F" w:rsidP="00BB16EC">
      <w:pPr>
        <w:tabs>
          <w:tab w:val="left" w:pos="2160"/>
          <w:tab w:val="left" w:pos="2430"/>
          <w:tab w:val="left" w:pos="2520"/>
        </w:tabs>
        <w:adjustRightInd w:val="0"/>
        <w:spacing w:before="0" w:after="240"/>
        <w:ind w:left="1800" w:right="490"/>
        <w:rPr>
          <w:rFonts w:cs="Arial"/>
          <w:lang w:val="en-GB"/>
        </w:rPr>
      </w:pPr>
      <m:oMath>
        <m:sSubSup>
          <m:sSubSupPr>
            <m:ctrlPr>
              <w:rPr>
                <w:rFonts w:ascii="Cambria Math" w:hAnsi="Cambria Math" w:cs="Arial"/>
                <w:lang w:val="en-GB"/>
              </w:rPr>
            </m:ctrlPr>
          </m:sSubSupPr>
          <m:e>
            <m:r>
              <w:rPr>
                <w:rFonts w:ascii="Cambria Math" w:hAnsi="Cambria Math" w:cs="Arial"/>
                <w:lang w:val="en-GB"/>
              </w:rPr>
              <m:t>w</m:t>
            </m:r>
          </m:e>
          <m:sub>
            <m:r>
              <w:rPr>
                <w:rFonts w:ascii="Cambria Math" w:hAnsi="Cambria Math" w:cs="Arial"/>
                <w:lang w:val="en-GB"/>
              </w:rPr>
              <m:t>i</m:t>
            </m:r>
          </m:sub>
          <m:sup>
            <m:r>
              <w:rPr>
                <w:rFonts w:ascii="Cambria Math" w:hAnsi="Cambria Math" w:cs="Arial"/>
                <w:lang w:val="en-GB"/>
              </w:rPr>
              <m:t>Index</m:t>
            </m:r>
          </m:sup>
        </m:sSubSup>
      </m:oMath>
      <w:r w:rsidR="00BB16EC" w:rsidRPr="00805B4F">
        <w:rPr>
          <w:rFonts w:cs="Arial"/>
          <w:lang w:val="en-GB"/>
        </w:rPr>
        <w:tab/>
        <w:t xml:space="preserve">= </w:t>
      </w:r>
      <w:r w:rsidR="00BB16EC" w:rsidRPr="00805B4F">
        <w:rPr>
          <w:rFonts w:cs="Arial"/>
          <w:lang w:val="en-GB"/>
        </w:rPr>
        <w:tab/>
        <w:t>weight in the index of component</w:t>
      </w:r>
      <w:r w:rsidR="00BB16EC" w:rsidRPr="00805B4F">
        <w:rPr>
          <w:rFonts w:cs="Arial"/>
          <w:i/>
          <w:lang w:val="en-GB"/>
        </w:rPr>
        <w:t xml:space="preserve"> </w:t>
      </w:r>
      <w:proofErr w:type="spellStart"/>
      <w:r w:rsidR="00BB16EC" w:rsidRPr="00805B4F">
        <w:rPr>
          <w:rFonts w:cs="Arial"/>
          <w:i/>
          <w:lang w:val="en-GB"/>
        </w:rPr>
        <w:t>i</w:t>
      </w:r>
      <w:proofErr w:type="spellEnd"/>
      <w:r w:rsidR="00BB16EC" w:rsidRPr="00805B4F">
        <w:rPr>
          <w:rFonts w:cs="Arial"/>
          <w:i/>
          <w:lang w:val="en-GB"/>
        </w:rPr>
        <w:t xml:space="preserve">, and </w:t>
      </w:r>
    </w:p>
    <w:p w14:paraId="769A5A98" w14:textId="77777777" w:rsidR="00BB16EC" w:rsidRPr="00805B4F" w:rsidRDefault="00BB16EC" w:rsidP="00BB16EC">
      <w:pPr>
        <w:tabs>
          <w:tab w:val="left" w:pos="2160"/>
          <w:tab w:val="left" w:pos="2430"/>
          <w:tab w:val="left" w:pos="2520"/>
        </w:tabs>
        <w:adjustRightInd w:val="0"/>
        <w:spacing w:before="0" w:after="240"/>
        <w:ind w:left="1800" w:right="490"/>
        <w:rPr>
          <w:rFonts w:cs="Arial"/>
          <w:lang w:val="en-GB"/>
        </w:rPr>
      </w:pPr>
      <m:oMath>
        <m:r>
          <w:rPr>
            <w:rFonts w:ascii="Cambria Math" w:hAnsi="Cambria Math" w:cs="Arial"/>
            <w:lang w:val="en-GB"/>
          </w:rPr>
          <m:t>λ</m:t>
        </m:r>
      </m:oMath>
      <w:r w:rsidRPr="00805B4F">
        <w:rPr>
          <w:rFonts w:cs="Arial"/>
          <w:lang w:val="en-GB"/>
        </w:rPr>
        <w:tab/>
        <w:t>=</w:t>
      </w:r>
      <w:r w:rsidRPr="00805B4F">
        <w:rPr>
          <w:rFonts w:cs="Arial"/>
          <w:lang w:val="en-GB"/>
        </w:rPr>
        <w:tab/>
        <w:t>tilting parameter.</w:t>
      </w:r>
    </w:p>
    <w:p w14:paraId="1A92645E" w14:textId="77777777" w:rsidR="00BB16EC" w:rsidRPr="00805B4F" w:rsidRDefault="00BB16EC" w:rsidP="00BB16EC">
      <w:pPr>
        <w:numPr>
          <w:ilvl w:val="0"/>
          <w:numId w:val="22"/>
        </w:numPr>
        <w:tabs>
          <w:tab w:val="left" w:pos="900"/>
        </w:tabs>
        <w:autoSpaceDE w:val="0"/>
        <w:autoSpaceDN w:val="0"/>
        <w:adjustRightInd w:val="0"/>
        <w:spacing w:before="0" w:after="0"/>
        <w:ind w:right="495"/>
        <w:jc w:val="left"/>
        <w:rPr>
          <w:bCs/>
          <w:lang w:val="en-GB"/>
        </w:rPr>
      </w:pPr>
      <w:r w:rsidRPr="00805B4F">
        <w:rPr>
          <w:bCs/>
          <w:lang w:val="en-GB"/>
        </w:rPr>
        <w:t>Maximum Weight and Liquidity Constraint</w:t>
      </w:r>
    </w:p>
    <w:p w14:paraId="7D213A65" w14:textId="77777777" w:rsidR="00BB16EC" w:rsidRPr="00805B4F" w:rsidRDefault="00BB16EC" w:rsidP="00BB16EC">
      <w:pPr>
        <w:adjustRightInd w:val="0"/>
        <w:spacing w:before="0" w:after="240"/>
        <w:ind w:left="1800" w:right="490"/>
        <w:rPr>
          <w:rFonts w:cs="Arial"/>
          <w:lang w:val="en-GB"/>
        </w:rPr>
      </w:pPr>
      <w:r w:rsidRPr="00805B4F">
        <w:rPr>
          <w:rFonts w:cs="Arial"/>
          <w:lang w:val="en-GB"/>
        </w:rPr>
        <w:t>After applying the Index Tilt methodology, a 10% security-level maximum weight constraint and liquidity limit rule as defined in Section 2.15 is applied to the Index.</w:t>
      </w:r>
    </w:p>
    <w:p w14:paraId="7ECA2322" w14:textId="77777777" w:rsidR="00BB16EC" w:rsidRPr="00805B4F" w:rsidRDefault="00BB16EC" w:rsidP="00BB16EC">
      <w:pPr>
        <w:numPr>
          <w:ilvl w:val="0"/>
          <w:numId w:val="22"/>
        </w:numPr>
        <w:tabs>
          <w:tab w:val="left" w:pos="900"/>
        </w:tabs>
        <w:autoSpaceDE w:val="0"/>
        <w:autoSpaceDN w:val="0"/>
        <w:adjustRightInd w:val="0"/>
        <w:spacing w:before="0" w:after="0"/>
        <w:ind w:right="495"/>
        <w:jc w:val="left"/>
        <w:rPr>
          <w:bCs/>
          <w:lang w:val="en-GB"/>
        </w:rPr>
      </w:pPr>
      <w:r w:rsidRPr="00805B4F">
        <w:rPr>
          <w:bCs/>
          <w:lang w:val="en-GB"/>
        </w:rPr>
        <w:t>Iteration Process</w:t>
      </w:r>
    </w:p>
    <w:p w14:paraId="2BB2C5AA" w14:textId="3EFFA7E5" w:rsidR="00BB16EC" w:rsidRPr="00805B4F" w:rsidRDefault="00BB16EC" w:rsidP="00BB16EC">
      <w:pPr>
        <w:adjustRightInd w:val="0"/>
        <w:spacing w:before="0" w:after="240"/>
        <w:ind w:left="1800" w:right="490"/>
        <w:rPr>
          <w:rFonts w:cs="Arial"/>
          <w:lang w:val="en-GB"/>
        </w:rPr>
      </w:pPr>
      <w:r w:rsidRPr="00805B4F">
        <w:rPr>
          <w:rFonts w:cs="Arial"/>
          <w:lang w:val="en-GB"/>
        </w:rPr>
        <w:t>After applying the carbon intensity reduction process, the carbon intensity of the Index is determined. If the Index carbon intensity exceeds the target carbon intensity</w:t>
      </w:r>
      <w:r w:rsidR="006B7A08">
        <w:rPr>
          <w:rFonts w:cs="Arial"/>
          <w:lang w:val="en-DE"/>
        </w:rPr>
        <w:t>,</w:t>
      </w:r>
      <w:r w:rsidRPr="00805B4F">
        <w:rPr>
          <w:rFonts w:ascii="Whitney Medium" w:hAnsi="Whitney Medium" w:cs="Arial"/>
          <w:sz w:val="18"/>
          <w:szCs w:val="18"/>
          <w:lang w:val="en-GB"/>
        </w:rPr>
        <w:t xml:space="preserve"> </w:t>
      </w:r>
      <w:r w:rsidRPr="00805B4F">
        <w:rPr>
          <w:rFonts w:cs="Arial"/>
          <w:lang w:val="en-GB"/>
        </w:rPr>
        <w:t xml:space="preserve">we repeat the process until the target carbon intensity target is met or 100 iterations have occurred. </w:t>
      </w:r>
    </w:p>
    <w:p w14:paraId="0455DD68" w14:textId="77777777" w:rsidR="00BB16EC" w:rsidRPr="00805B4F" w:rsidRDefault="00BB16EC" w:rsidP="00BB16EC">
      <w:pPr>
        <w:adjustRightInd w:val="0"/>
        <w:spacing w:before="0" w:after="240"/>
        <w:ind w:left="864" w:right="490" w:firstLine="6"/>
        <w:rPr>
          <w:rFonts w:cs="Arial"/>
          <w:lang w:val="en-GB"/>
        </w:rPr>
      </w:pPr>
      <w:r w:rsidRPr="00805B4F">
        <w:rPr>
          <w:rFonts w:cs="Arial"/>
          <w:lang w:val="en-GB"/>
        </w:rPr>
        <w:t>Note: As of the 2/11/2022 index selection date for the RAFI Value Factor Developed Eurozone Carbon Neutral Index the index methodology was changed to reflect a carbon neutral (relative to cap-weight) carbon intensity reduction approach. Prior to 2/11/2022 the index achieved carbon intensity reduction by capping fossil fuel companies at 80% of an equivalent cap-weighted index. The new carbon intensity reduction methodology will be phased in over 4 quarterly rebalances from 3/2022 – 12/2022.</w:t>
      </w:r>
    </w:p>
    <w:p w14:paraId="2AACC1A1" w14:textId="408D0F16" w:rsidR="00BB16EC" w:rsidRDefault="00BB16EC" w:rsidP="00C04273">
      <w:pPr>
        <w:spacing w:before="0" w:after="160" w:line="259" w:lineRule="auto"/>
        <w:rPr>
          <w:i/>
          <w:highlight w:val="yellow"/>
          <w:lang w:val="en-GB"/>
        </w:rPr>
      </w:pP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lastRenderedPageBreak/>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59EC6927"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EE0D3C" w:rsidRPr="00EE0D3C">
        <w:rPr>
          <w:lang w:val="en-US"/>
        </w:rPr>
        <w:t>RAFI Value Factor Developed Eurozone Fossil Fuels Capped</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805B4F"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35B46B1E"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w:t>
      </w:r>
      <w:r w:rsidRPr="00C617A8">
        <w:rPr>
          <w:lang w:val="en-US"/>
        </w:rPr>
        <w:t>until</w:t>
      </w:r>
      <w:r w:rsidR="00EE0D3C" w:rsidRPr="00C617A8">
        <w:rPr>
          <w:lang w:val="en-US"/>
        </w:rPr>
        <w:t xml:space="preserve"> </w:t>
      </w:r>
      <w:r w:rsidR="00EE0D3C" w:rsidRPr="00C617A8">
        <w:rPr>
          <w:i/>
          <w:lang w:val="en-US"/>
        </w:rPr>
        <w:t>February 8</w:t>
      </w:r>
      <w:r w:rsidR="00FF5C17" w:rsidRPr="00C617A8">
        <w:rPr>
          <w:i/>
          <w:lang w:val="en-US"/>
        </w:rPr>
        <w:t>, 2022</w:t>
      </w:r>
      <w:r w:rsidR="00FF5C17">
        <w:rPr>
          <w:i/>
          <w:lang w:val="en-DE"/>
        </w:rPr>
        <w:t xml:space="preserve"> (cob)</w:t>
      </w:r>
      <w:r w:rsidRPr="00C617A8">
        <w:rPr>
          <w:lang w:val="en-US"/>
        </w:rPr>
        <w:t>.</w:t>
      </w:r>
    </w:p>
    <w:p w14:paraId="741A56A5" w14:textId="63345510" w:rsidR="00651886" w:rsidRPr="00C04273" w:rsidRDefault="00651886" w:rsidP="00651886">
      <w:pPr>
        <w:spacing w:before="0" w:after="0" w:line="360" w:lineRule="auto"/>
        <w:rPr>
          <w:lang w:val="en-US"/>
        </w:rPr>
      </w:pPr>
      <w:r w:rsidRPr="00FE1081">
        <w:rPr>
          <w:lang w:val="en-US"/>
        </w:rPr>
        <w:t xml:space="preserve">Subject to feedback received on this Market Consultation, the changes mentioned </w:t>
      </w:r>
      <w:r w:rsidRPr="008E2BAE">
        <w:rPr>
          <w:lang w:val="en-US"/>
        </w:rPr>
        <w:t xml:space="preserve">above are intended to </w:t>
      </w:r>
      <w:r w:rsidRPr="00FE1081">
        <w:rPr>
          <w:lang w:val="en-US"/>
        </w:rPr>
        <w:t xml:space="preserve">become effective </w:t>
      </w:r>
      <w:r w:rsidRPr="00C617A8">
        <w:rPr>
          <w:lang w:val="en-US"/>
        </w:rPr>
        <w:t>on</w:t>
      </w:r>
      <w:r w:rsidR="00EE0D3C" w:rsidRPr="00C617A8">
        <w:rPr>
          <w:lang w:val="en-US"/>
        </w:rPr>
        <w:t xml:space="preserve"> </w:t>
      </w:r>
      <w:r w:rsidR="00EE0D3C" w:rsidRPr="00C617A8">
        <w:rPr>
          <w:i/>
          <w:lang w:val="en-US"/>
        </w:rPr>
        <w:t>February 11</w:t>
      </w:r>
      <w:r w:rsidR="00FF5C17">
        <w:rPr>
          <w:i/>
          <w:lang w:val="en-DE"/>
        </w:rPr>
        <w:t>,</w:t>
      </w:r>
      <w:r w:rsidR="00EE0D3C" w:rsidRPr="00C617A8">
        <w:rPr>
          <w:i/>
          <w:lang w:val="en-US"/>
        </w:rPr>
        <w:t xml:space="preserve"> 2022</w:t>
      </w:r>
      <w:r w:rsidR="004819FA" w:rsidRPr="00C617A8">
        <w:rPr>
          <w:lang w:val="en-US"/>
        </w:rPr>
        <w:t>.</w:t>
      </w:r>
    </w:p>
    <w:p w14:paraId="0D223365" w14:textId="77777777" w:rsidR="00651886" w:rsidRPr="00C04273" w:rsidRDefault="00651886" w:rsidP="005055F5">
      <w:pPr>
        <w:spacing w:before="0" w:after="0" w:line="360" w:lineRule="auto"/>
        <w:rPr>
          <w:lang w:val="en-US"/>
        </w:rPr>
      </w:pPr>
    </w:p>
    <w:p w14:paraId="04131284" w14:textId="60E1178E" w:rsidR="005055F5" w:rsidRPr="00C04273" w:rsidRDefault="005055F5" w:rsidP="005055F5">
      <w:pPr>
        <w:spacing w:before="0" w:after="0" w:line="360" w:lineRule="auto"/>
        <w:rPr>
          <w:lang w:val="en-US"/>
        </w:rPr>
      </w:pPr>
      <w:r w:rsidRPr="00C04273">
        <w:rPr>
          <w:lang w:val="en-US"/>
        </w:rPr>
        <w:lastRenderedPageBreak/>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00CF5A75" w:rsidRPr="00CF5A75">
        <w:rPr>
          <w:b/>
          <w:bCs/>
          <w:lang w:val="en-US"/>
        </w:rPr>
        <w:t>Market Consultation | RAFI Value Factor Developed Eurozone Fossil Fuels Capped</w:t>
      </w:r>
      <w:r w:rsidR="00A50D6D">
        <w:rPr>
          <w:lang w:val="en-US"/>
        </w:rPr>
        <w:t>”</w:t>
      </w:r>
      <w:r w:rsidRPr="00C04273">
        <w:rPr>
          <w:lang w:val="en-US"/>
        </w:rPr>
        <w:t xml:space="preserve"> as the subject of the email, or </w:t>
      </w:r>
    </w:p>
    <w:p w14:paraId="6AB9F564" w14:textId="77777777" w:rsidR="005055F5" w:rsidRPr="008E2BAE" w:rsidRDefault="005055F5" w:rsidP="005055F5">
      <w:pPr>
        <w:spacing w:after="0"/>
        <w:rPr>
          <w:lang w:val="it-IT"/>
        </w:rPr>
      </w:pPr>
      <w:r w:rsidRPr="008E2BAE">
        <w:rPr>
          <w:lang w:val="it-IT"/>
        </w:rPr>
        <w:t>via postal mail to:</w:t>
      </w:r>
      <w:r w:rsidRPr="008E2BAE">
        <w:rPr>
          <w:lang w:val="it-IT"/>
        </w:rPr>
        <w:tab/>
      </w:r>
      <w:r w:rsidRPr="008E2BAE">
        <w:rPr>
          <w:b/>
          <w:bCs/>
          <w:lang w:val="it-IT"/>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8E2BAE" w:rsidRDefault="003D0D25" w:rsidP="003D0D25">
      <w:pPr>
        <w:spacing w:after="0"/>
        <w:ind w:left="1416" w:firstLine="708"/>
        <w:rPr>
          <w:lang w:val="en-US"/>
        </w:rPr>
      </w:pPr>
      <w:r w:rsidRPr="008E2BAE">
        <w:rPr>
          <w:lang w:val="en-US"/>
        </w:rPr>
        <w:t>Germany</w:t>
      </w:r>
    </w:p>
    <w:p w14:paraId="752A804F" w14:textId="7A894BF5" w:rsidR="00753C1C" w:rsidRPr="008E2BAE" w:rsidRDefault="00753C1C" w:rsidP="003D0D25">
      <w:pPr>
        <w:spacing w:after="0"/>
        <w:ind w:left="1416" w:firstLine="708"/>
        <w:rPr>
          <w:lang w:val="en-US"/>
        </w:rPr>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8E2BAE" w:rsidRDefault="00753C1C" w:rsidP="003D0D25">
      <w:pPr>
        <w:spacing w:after="0"/>
        <w:ind w:left="1416" w:firstLine="708"/>
        <w:rPr>
          <w:lang w:val="en-US"/>
        </w:rPr>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805B4F" w:rsidRDefault="00466905" w:rsidP="00EE22E3">
                            <w:pPr>
                              <w:tabs>
                                <w:tab w:val="left" w:pos="993"/>
                              </w:tabs>
                              <w:contextualSpacing/>
                              <w:rPr>
                                <w:color w:val="FFFFFF" w:themeColor="background1"/>
                                <w:lang w:val="en-US" w:eastAsia="en-US"/>
                              </w:rPr>
                            </w:pPr>
                            <w:r w:rsidRPr="00805B4F">
                              <w:rPr>
                                <w:color w:val="FFFFFF" w:themeColor="background1"/>
                                <w:lang w:val="en-US" w:eastAsia="en-US"/>
                              </w:rPr>
                              <w:t>Website:</w:t>
                            </w:r>
                            <w:r w:rsidRPr="00805B4F">
                              <w:rPr>
                                <w:color w:val="FFFFFF" w:themeColor="background1"/>
                                <w:lang w:val="en-US" w:eastAsia="en-US"/>
                              </w:rPr>
                              <w:tab/>
                            </w:r>
                            <w:hyperlink r:id="rId13" w:history="1">
                              <w:r w:rsidRPr="00805B4F">
                                <w:rPr>
                                  <w:rStyle w:val="Hyperlink"/>
                                  <w:color w:val="FFFFFF" w:themeColor="background1"/>
                                  <w:lang w:val="en-US" w:eastAsia="en-US"/>
                                </w:rPr>
                                <w:t>www.solactive.com</w:t>
                              </w:r>
                            </w:hyperlink>
                            <w:r w:rsidRPr="00805B4F">
                              <w:rPr>
                                <w:color w:val="FFFFFF" w:themeColor="background1"/>
                                <w:lang w:val="en-US" w:eastAsia="en-US"/>
                              </w:rPr>
                              <w:t xml:space="preserve"> </w:t>
                            </w:r>
                          </w:p>
                          <w:p w14:paraId="7C95E775" w14:textId="77777777" w:rsidR="00466905" w:rsidRPr="00805B4F" w:rsidRDefault="00466905" w:rsidP="00EE22E3">
                            <w:pPr>
                              <w:tabs>
                                <w:tab w:val="left" w:pos="993"/>
                              </w:tabs>
                              <w:contextualSpacing/>
                              <w:rPr>
                                <w:color w:val="FFFFFF" w:themeColor="background1"/>
                                <w:lang w:val="en-US"/>
                              </w:rPr>
                            </w:pPr>
                          </w:p>
                          <w:p w14:paraId="1DDD5EBB" w14:textId="77777777" w:rsidR="00466905" w:rsidRPr="008E2BAE" w:rsidRDefault="00466905" w:rsidP="00EE22E3">
                            <w:pPr>
                              <w:tabs>
                                <w:tab w:val="left" w:pos="993"/>
                              </w:tabs>
                              <w:contextualSpacing/>
                              <w:rPr>
                                <w:color w:val="FFFFFF" w:themeColor="background1"/>
                                <w:lang w:val="fr-FR"/>
                              </w:rPr>
                            </w:pPr>
                            <w:r w:rsidRPr="008E2BAE">
                              <w:rPr>
                                <w:color w:val="FFFFFF" w:themeColor="background1"/>
                                <w:lang w:val="fr-FR"/>
                              </w:rPr>
                              <w:t>© Solactive AG</w:t>
                            </w:r>
                          </w:p>
                          <w:p w14:paraId="5087DCB6" w14:textId="77777777" w:rsidR="00466905" w:rsidRPr="008E2BAE"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805B4F" w:rsidRDefault="00466905" w:rsidP="00EE22E3">
                      <w:pPr>
                        <w:tabs>
                          <w:tab w:val="left" w:pos="993"/>
                        </w:tabs>
                        <w:contextualSpacing/>
                        <w:rPr>
                          <w:color w:val="FFFFFF" w:themeColor="background1"/>
                          <w:lang w:val="en-US" w:eastAsia="en-US"/>
                        </w:rPr>
                      </w:pPr>
                      <w:r w:rsidRPr="00805B4F">
                        <w:rPr>
                          <w:color w:val="FFFFFF" w:themeColor="background1"/>
                          <w:lang w:val="en-US" w:eastAsia="en-US"/>
                        </w:rPr>
                        <w:t>Website:</w:t>
                      </w:r>
                      <w:r w:rsidRPr="00805B4F">
                        <w:rPr>
                          <w:color w:val="FFFFFF" w:themeColor="background1"/>
                          <w:lang w:val="en-US" w:eastAsia="en-US"/>
                        </w:rPr>
                        <w:tab/>
                      </w:r>
                      <w:hyperlink r:id="rId15" w:history="1">
                        <w:r w:rsidRPr="00805B4F">
                          <w:rPr>
                            <w:rStyle w:val="Hyperlink"/>
                            <w:color w:val="FFFFFF" w:themeColor="background1"/>
                            <w:lang w:val="en-US" w:eastAsia="en-US"/>
                          </w:rPr>
                          <w:t>www.solactive.com</w:t>
                        </w:r>
                      </w:hyperlink>
                      <w:r w:rsidRPr="00805B4F">
                        <w:rPr>
                          <w:color w:val="FFFFFF" w:themeColor="background1"/>
                          <w:lang w:val="en-US" w:eastAsia="en-US"/>
                        </w:rPr>
                        <w:t xml:space="preserve"> </w:t>
                      </w:r>
                    </w:p>
                    <w:p w14:paraId="7C95E775" w14:textId="77777777" w:rsidR="00466905" w:rsidRPr="00805B4F" w:rsidRDefault="00466905" w:rsidP="00EE22E3">
                      <w:pPr>
                        <w:tabs>
                          <w:tab w:val="left" w:pos="993"/>
                        </w:tabs>
                        <w:contextualSpacing/>
                        <w:rPr>
                          <w:color w:val="FFFFFF" w:themeColor="background1"/>
                          <w:lang w:val="en-US"/>
                        </w:rPr>
                      </w:pPr>
                    </w:p>
                    <w:p w14:paraId="1DDD5EBB" w14:textId="77777777" w:rsidR="00466905" w:rsidRPr="008E2BAE" w:rsidRDefault="00466905" w:rsidP="00EE22E3">
                      <w:pPr>
                        <w:tabs>
                          <w:tab w:val="left" w:pos="993"/>
                        </w:tabs>
                        <w:contextualSpacing/>
                        <w:rPr>
                          <w:color w:val="FFFFFF" w:themeColor="background1"/>
                          <w:lang w:val="fr-FR"/>
                        </w:rPr>
                      </w:pPr>
                      <w:r w:rsidRPr="008E2BAE">
                        <w:rPr>
                          <w:color w:val="FFFFFF" w:themeColor="background1"/>
                          <w:lang w:val="fr-FR"/>
                        </w:rPr>
                        <w:t>© Solactive AG</w:t>
                      </w:r>
                    </w:p>
                    <w:p w14:paraId="5087DCB6" w14:textId="77777777" w:rsidR="00466905" w:rsidRPr="008E2BAE" w:rsidRDefault="00466905" w:rsidP="00EE22E3">
                      <w:pPr>
                        <w:rPr>
                          <w:color w:val="FFFFFF" w:themeColor="background1"/>
                          <w:lang w:val="fr-FR"/>
                        </w:rPr>
                      </w:pPr>
                    </w:p>
                  </w:txbxContent>
                </v:textbox>
                <w10:wrap anchorx="margin" anchory="page"/>
              </v:shape>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D7539BE-1A24-4DB0-AD21-47A9164C144D}"/>
    <w:embedItalic r:id="rId2" w:fontKey="{F81FC34B-D049-4C76-8D97-CE1E322DC5CB}"/>
  </w:font>
  <w:font w:name="Flama Semicondensed Light">
    <w:panose1 w:val="02000000000000000000"/>
    <w:charset w:val="00"/>
    <w:family w:val="auto"/>
    <w:pitch w:val="variable"/>
    <w:sig w:usb0="A00000AF" w:usb1="4000207B" w:usb2="00000000" w:usb3="00000000" w:csb0="0000008B" w:csb1="00000000"/>
    <w:embedRegular r:id="rId3" w:fontKey="{33658ABC-4CC6-4189-90EA-F11583CF4C8E}"/>
    <w:embedBold r:id="rId4" w:fontKey="{80F44221-1CBA-4017-9DF2-C3E1150C6C39}"/>
    <w:embedItalic r:id="rId5" w:fontKey="{47A21245-E7A8-4FC6-AC4C-E9829A43FF70}"/>
  </w:font>
  <w:font w:name="Segoe UI">
    <w:panose1 w:val="020B0502040204020203"/>
    <w:charset w:val="00"/>
    <w:family w:val="swiss"/>
    <w:pitch w:val="variable"/>
    <w:sig w:usb0="E4002EFF" w:usb1="C000E47F" w:usb2="00000009" w:usb3="00000000" w:csb0="000001FF" w:csb1="00000000"/>
    <w:embedRegular r:id="rId6" w:fontKey="{DBEE6DCF-AB85-4E79-8299-D71CA1943B19}"/>
  </w:font>
  <w:font w:name="Flama Semicondensed Medium">
    <w:altName w:val="Times New Roman"/>
    <w:panose1 w:val="02000000000000000000"/>
    <w:charset w:val="00"/>
    <w:family w:val="auto"/>
    <w:pitch w:val="variable"/>
    <w:sig w:usb0="A00000AF" w:usb1="4000207B" w:usb2="00000000" w:usb3="00000000" w:csb0="0000008B" w:csb1="00000000"/>
    <w:embedRegular r:id="rId7" w:fontKey="{A234A272-D203-4A5B-BD86-C78A8937FB6F}"/>
    <w:embedBold r:id="rId8" w:fontKey="{4CEE6E70-BD26-4557-9BC8-DBF4B0F4D98E}"/>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9" w:fontKey="{E451C03F-D7E7-4ACD-B95B-237FBCFF535A}"/>
    <w:embedItalic r:id="rId10" w:fontKey="{C0FE1B26-CF2B-4973-8DA3-CE62DD492897}"/>
  </w:font>
  <w:font w:name="Whitney Medium">
    <w:altName w:val="Arial"/>
    <w:panose1 w:val="00000000000000000000"/>
    <w:charset w:val="00"/>
    <w:family w:val="modern"/>
    <w:notTrueType/>
    <w:pitch w:val="variable"/>
    <w:sig w:usb0="A10002FF" w:usb1="4000005B" w:usb2="00000000" w:usb3="00000000" w:csb0="0000009F" w:csb1="00000000"/>
  </w:font>
  <w:font w:name="Calibri Light">
    <w:panose1 w:val="020F0302020204030204"/>
    <w:charset w:val="00"/>
    <w:family w:val="swiss"/>
    <w:pitch w:val="variable"/>
    <w:sig w:usb0="E4002EFF" w:usb1="C000247B" w:usb2="00000009" w:usb3="00000000" w:csb0="000001FF" w:csb1="00000000"/>
    <w:embedRegular r:id="rId11" w:fontKey="{7AAF0746-D74E-405C-83EE-85862432E5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751904DD"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CF5A75">
          <w:rPr>
            <w:lang w:val="en-US"/>
          </w:rPr>
          <w:t>Market Consultation | RAFI Value Factor Developed Eurozone Fossil Fuels Capped</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5EB4ED8"/>
    <w:multiLevelType w:val="hybridMultilevel"/>
    <w:tmpl w:val="D9FA07EE"/>
    <w:lvl w:ilvl="0" w:tplc="6268C242">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7"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E9D352F"/>
    <w:multiLevelType w:val="hybridMultilevel"/>
    <w:tmpl w:val="301E422A"/>
    <w:lvl w:ilvl="0" w:tplc="810E7904">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0"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17"/>
  </w:num>
  <w:num w:numId="4">
    <w:abstractNumId w:val="21"/>
  </w:num>
  <w:num w:numId="5">
    <w:abstractNumId w:val="16"/>
  </w:num>
  <w:num w:numId="6">
    <w:abstractNumId w:val="8"/>
  </w:num>
  <w:num w:numId="7">
    <w:abstractNumId w:val="20"/>
  </w:num>
  <w:num w:numId="8">
    <w:abstractNumId w:val="3"/>
  </w:num>
  <w:num w:numId="9">
    <w:abstractNumId w:val="13"/>
  </w:num>
  <w:num w:numId="10">
    <w:abstractNumId w:val="12"/>
  </w:num>
  <w:num w:numId="11">
    <w:abstractNumId w:val="2"/>
  </w:num>
  <w:num w:numId="12">
    <w:abstractNumId w:val="1"/>
  </w:num>
  <w:num w:numId="13">
    <w:abstractNumId w:val="15"/>
  </w:num>
  <w:num w:numId="14">
    <w:abstractNumId w:val="10"/>
  </w:num>
  <w:num w:numId="15">
    <w:abstractNumId w:val="4"/>
  </w:num>
  <w:num w:numId="16">
    <w:abstractNumId w:val="11"/>
  </w:num>
  <w:num w:numId="17">
    <w:abstractNumId w:val="22"/>
  </w:num>
  <w:num w:numId="18">
    <w:abstractNumId w:val="9"/>
  </w:num>
  <w:num w:numId="19">
    <w:abstractNumId w:val="18"/>
  </w:num>
  <w:num w:numId="20">
    <w:abstractNumId w:val="19"/>
  </w:num>
  <w:num w:numId="21">
    <w:abstractNumId w:val="0"/>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B1B9E"/>
    <w:rsid w:val="001C7018"/>
    <w:rsid w:val="001D0ECC"/>
    <w:rsid w:val="001D6895"/>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3D0"/>
    <w:rsid w:val="00507DB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5F2DF7"/>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B7A08"/>
    <w:rsid w:val="006B7E55"/>
    <w:rsid w:val="006C091C"/>
    <w:rsid w:val="006C2A33"/>
    <w:rsid w:val="006C3E4C"/>
    <w:rsid w:val="006C5EE2"/>
    <w:rsid w:val="006D163F"/>
    <w:rsid w:val="006E0DEB"/>
    <w:rsid w:val="006F11E8"/>
    <w:rsid w:val="006F1D5D"/>
    <w:rsid w:val="006F54CB"/>
    <w:rsid w:val="007033A8"/>
    <w:rsid w:val="007063F4"/>
    <w:rsid w:val="00713FE1"/>
    <w:rsid w:val="0073537F"/>
    <w:rsid w:val="007357DE"/>
    <w:rsid w:val="00736C70"/>
    <w:rsid w:val="007372FA"/>
    <w:rsid w:val="00746268"/>
    <w:rsid w:val="00750A5D"/>
    <w:rsid w:val="00753112"/>
    <w:rsid w:val="00753C1C"/>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05B4F"/>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2BAE"/>
    <w:rsid w:val="008E4BEE"/>
    <w:rsid w:val="008F59D5"/>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F51A9"/>
    <w:rsid w:val="00A114CD"/>
    <w:rsid w:val="00A2430F"/>
    <w:rsid w:val="00A255BA"/>
    <w:rsid w:val="00A3779F"/>
    <w:rsid w:val="00A41317"/>
    <w:rsid w:val="00A413D8"/>
    <w:rsid w:val="00A50D6D"/>
    <w:rsid w:val="00A64163"/>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6EC"/>
    <w:rsid w:val="00BB1CFA"/>
    <w:rsid w:val="00BB7BCB"/>
    <w:rsid w:val="00BD20E0"/>
    <w:rsid w:val="00BD4042"/>
    <w:rsid w:val="00BE7D66"/>
    <w:rsid w:val="00C0189C"/>
    <w:rsid w:val="00C03D31"/>
    <w:rsid w:val="00C04273"/>
    <w:rsid w:val="00C22CA0"/>
    <w:rsid w:val="00C24716"/>
    <w:rsid w:val="00C30238"/>
    <w:rsid w:val="00C32515"/>
    <w:rsid w:val="00C4722A"/>
    <w:rsid w:val="00C617A8"/>
    <w:rsid w:val="00C676D8"/>
    <w:rsid w:val="00C750BC"/>
    <w:rsid w:val="00C77505"/>
    <w:rsid w:val="00C77B4F"/>
    <w:rsid w:val="00CA595E"/>
    <w:rsid w:val="00CC4A71"/>
    <w:rsid w:val="00CD41EB"/>
    <w:rsid w:val="00CD7B75"/>
    <w:rsid w:val="00CF29CC"/>
    <w:rsid w:val="00CF5A75"/>
    <w:rsid w:val="00D06709"/>
    <w:rsid w:val="00D06800"/>
    <w:rsid w:val="00D06D8B"/>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0D3C"/>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 w:val="00FF5C1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BD20E0"/>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altName w:val="Times New Roman"/>
    <w:panose1 w:val="02000000000000000000"/>
    <w:charset w:val="00"/>
    <w:family w:val="auto"/>
    <w:pitch w:val="variable"/>
    <w:sig w:usb0="A00000AF" w:usb1="4000207B" w:usb2="00000000" w:usb3="00000000" w:csb0="0000008B"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hitney Medium">
    <w:altName w:val="Arial"/>
    <w:panose1 w:val="00000000000000000000"/>
    <w:charset w:val="00"/>
    <w:family w:val="modern"/>
    <w:notTrueType/>
    <w:pitch w:val="variable"/>
    <w:sig w:usb0="A10002FF" w:usb1="40000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2022-01-25T00:00:00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1220</Words>
  <Characters>6955</Characters>
  <Application>Microsoft Office Word</Application>
  <DocSecurity>0</DocSecurity>
  <Lines>57</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 RAFI Value Factor Developed Eurozone Fossil Fuels Capped</vt:lpstr>
      <vt:lpstr>Index Calculation Guideline</vt:lpstr>
    </vt:vector>
  </TitlesOfParts>
  <Company/>
  <LinksUpToDate>false</LinksUpToDate>
  <CharactersWithSpaces>8159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 RAFI Value Factor Developed Eurozone Fossil Fuels Capped</dc:title>
  <dc:subject>Calculation Documents &amp; Methodologies</dc:subject>
  <dc:creator>Solactive AG</dc:creator>
  <cp:keywords/>
  <dc:description/>
  <cp:lastModifiedBy>Herrmann, Patrik</cp:lastModifiedBy>
  <cp:revision>16</cp:revision>
  <cp:lastPrinted>2018-12-10T16:54:00Z</cp:lastPrinted>
  <dcterms:created xsi:type="dcterms:W3CDTF">2022-01-24T13:48:00Z</dcterms:created>
  <dcterms:modified xsi:type="dcterms:W3CDTF">2022-01-25T10:57:00Z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