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KeinLeerraum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9908AAF" w:rsidR="0092193A" w:rsidRPr="0097651D" w:rsidRDefault="00113086" w:rsidP="0092193A">
              <w:pPr>
                <w:pStyle w:val="Titel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6A2B36">
                <w:rPr>
                  <w:color w:val="FFFFFF" w:themeColor="background1"/>
                  <w:lang w:val="en-US"/>
                </w:rPr>
                <w:t xml:space="preserve">VPENSION </w:t>
              </w:r>
              <w:r w:rsidR="00F77473">
                <w:rPr>
                  <w:color w:val="FFFFFF" w:themeColor="background1"/>
                  <w:lang w:val="en-US"/>
                </w:rPr>
                <w:t>Replacement of Australian Futures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7FEF788" w:rsidR="00466905" w:rsidRPr="00D902A1" w:rsidRDefault="00F97B8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1-17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6A2B3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17 January 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7FEF788" w:rsidR="00466905" w:rsidRPr="00D902A1" w:rsidRDefault="00F97B82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1-17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A2B3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17 January 2022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58D502D6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F77473">
        <w:rPr>
          <w:lang w:val="en-GB"/>
        </w:rPr>
        <w:t xml:space="preserve">following </w:t>
      </w:r>
      <w:r w:rsidR="00A97E61" w:rsidRPr="00F77473">
        <w:rPr>
          <w:lang w:val="en-US"/>
        </w:rPr>
        <w:t>Ind</w:t>
      </w:r>
      <w:r w:rsidR="00E05994" w:rsidRPr="00F77473">
        <w:rPr>
          <w:lang w:val="en-US"/>
        </w:rPr>
        <w:t>ices (the ‘</w:t>
      </w:r>
      <w:r w:rsidR="00A97E61" w:rsidRPr="00F77473">
        <w:rPr>
          <w:lang w:val="en-US"/>
        </w:rPr>
        <w:t>Ind</w:t>
      </w:r>
      <w:r w:rsidR="00E05994" w:rsidRPr="00F77473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F77473" w:rsidRPr="00F77473" w14:paraId="4C5AD7E5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7BEF4C6" w14:textId="4988D4B9" w:rsidR="00F77473" w:rsidRDefault="00F77473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FIVE </w:t>
            </w:r>
            <w:r w:rsidR="006A2B36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Pension Strategy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C156B9" w14:textId="04DA4075" w:rsidR="00F77473" w:rsidRDefault="00F77473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>
              <w:rPr>
                <w:rFonts w:eastAsia="Calibri"/>
                <w:color w:val="000000"/>
                <w:lang w:val="en-US" w:eastAsia="en-US"/>
              </w:rPr>
              <w:t>.V</w:t>
            </w:r>
            <w:r w:rsidR="006A2B36">
              <w:rPr>
                <w:rFonts w:eastAsia="Calibri"/>
                <w:color w:val="000000"/>
                <w:lang w:val="en-US" w:eastAsia="en-US"/>
              </w:rPr>
              <w:t>PENSION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28EEB7" w14:textId="65CEF560" w:rsidR="00F77473" w:rsidRDefault="00F7747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DE000SLA</w:t>
            </w:r>
            <w:r w:rsidR="006A2B36">
              <w:rPr>
                <w:rFonts w:eastAsia="Calibri"/>
                <w:color w:val="000000"/>
                <w:lang w:val="en-GB" w:eastAsia="en-US"/>
              </w:rPr>
              <w:t>7N92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75E96E90" w14:textId="751B46FD" w:rsidR="00233B75" w:rsidRDefault="00F77473" w:rsidP="00783C6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The Australian Exchange has raised their fees for the usage of the futures significantly, so that keeping the futures in the </w:t>
      </w:r>
      <w:r w:rsidR="00273ECA">
        <w:rPr>
          <w:lang w:val="en-GB"/>
        </w:rPr>
        <w:t>I</w:t>
      </w:r>
      <w:r>
        <w:rPr>
          <w:lang w:val="en-GB"/>
        </w:rPr>
        <w:t>ndices would lead to being non-economically reasonable.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594A6EF4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Changes to the Index Guideline</w:t>
      </w:r>
    </w:p>
    <w:p w14:paraId="7D66871B" w14:textId="7677522F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</w:t>
      </w:r>
      <w:r w:rsidR="00C32515">
        <w:rPr>
          <w:lang w:val="en-GB"/>
        </w:rPr>
        <w:t xml:space="preserve"> of the Index Guideline</w:t>
      </w:r>
      <w:r>
        <w:rPr>
          <w:lang w:val="en-GB"/>
        </w:rPr>
        <w:t xml:space="preserve"> (ordered in accordance with the numbering of the affected sections):</w:t>
      </w:r>
    </w:p>
    <w:p w14:paraId="32FC4F8B" w14:textId="78A54973" w:rsidR="0013534A" w:rsidRDefault="0013534A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From (old version):</w:t>
      </w:r>
    </w:p>
    <w:p w14:paraId="77FFC5EC" w14:textId="085F3899" w:rsidR="0013534A" w:rsidRDefault="0013534A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[…] Excerpt from 2.</w:t>
      </w:r>
      <w:r w:rsidR="006A2B36">
        <w:rPr>
          <w:lang w:val="en-GB"/>
        </w:rPr>
        <w:t>2</w:t>
      </w:r>
      <w:r>
        <w:rPr>
          <w:lang w:val="en-GB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1417"/>
        <w:gridCol w:w="851"/>
        <w:gridCol w:w="1134"/>
        <w:gridCol w:w="1134"/>
        <w:gridCol w:w="992"/>
        <w:gridCol w:w="283"/>
        <w:gridCol w:w="426"/>
        <w:gridCol w:w="425"/>
        <w:gridCol w:w="425"/>
        <w:gridCol w:w="420"/>
      </w:tblGrid>
      <w:tr w:rsidR="006A2B36" w:rsidRPr="00963300" w14:paraId="7310AEA0" w14:textId="77777777" w:rsidTr="000A69D2">
        <w:tc>
          <w:tcPr>
            <w:tcW w:w="704" w:type="dxa"/>
          </w:tcPr>
          <w:p w14:paraId="2A80B1D7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#i</w:t>
            </w:r>
          </w:p>
        </w:tc>
        <w:tc>
          <w:tcPr>
            <w:tcW w:w="851" w:type="dxa"/>
          </w:tcPr>
          <w:p w14:paraId="26334B9D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Asset Class</w:t>
            </w:r>
          </w:p>
        </w:tc>
        <w:tc>
          <w:tcPr>
            <w:tcW w:w="1417" w:type="dxa"/>
          </w:tcPr>
          <w:p w14:paraId="18E89CF4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Futures Market</w:t>
            </w:r>
          </w:p>
        </w:tc>
        <w:tc>
          <w:tcPr>
            <w:tcW w:w="851" w:type="dxa"/>
          </w:tcPr>
          <w:p w14:paraId="2EDA0B18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Ticker Prefix</w:t>
            </w:r>
          </w:p>
        </w:tc>
        <w:tc>
          <w:tcPr>
            <w:tcW w:w="1134" w:type="dxa"/>
          </w:tcPr>
          <w:p w14:paraId="7DE85202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Ticker Extension</w:t>
            </w:r>
          </w:p>
        </w:tc>
        <w:tc>
          <w:tcPr>
            <w:tcW w:w="1134" w:type="dxa"/>
          </w:tcPr>
          <w:p w14:paraId="549F2311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FX rate</w:t>
            </w:r>
          </w:p>
        </w:tc>
        <w:tc>
          <w:tcPr>
            <w:tcW w:w="992" w:type="dxa"/>
          </w:tcPr>
          <w:p w14:paraId="78112541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TC in NB Ticks</w:t>
            </w:r>
          </w:p>
        </w:tc>
        <w:tc>
          <w:tcPr>
            <w:tcW w:w="283" w:type="dxa"/>
          </w:tcPr>
          <w:p w14:paraId="44CF25E6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Beta</w:t>
            </w:r>
          </w:p>
        </w:tc>
        <w:tc>
          <w:tcPr>
            <w:tcW w:w="426" w:type="dxa"/>
          </w:tcPr>
          <w:p w14:paraId="59EDC8FC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TSMOM</w:t>
            </w:r>
          </w:p>
        </w:tc>
        <w:tc>
          <w:tcPr>
            <w:tcW w:w="425" w:type="dxa"/>
          </w:tcPr>
          <w:p w14:paraId="124462FC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XSMOM</w:t>
            </w:r>
          </w:p>
        </w:tc>
        <w:tc>
          <w:tcPr>
            <w:tcW w:w="425" w:type="dxa"/>
          </w:tcPr>
          <w:p w14:paraId="6496258D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TSCAR</w:t>
            </w:r>
          </w:p>
        </w:tc>
        <w:tc>
          <w:tcPr>
            <w:tcW w:w="420" w:type="dxa"/>
          </w:tcPr>
          <w:p w14:paraId="6F2B816A" w14:textId="77777777" w:rsidR="006A2B36" w:rsidRPr="006A2B36" w:rsidRDefault="006A2B36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6A2B36">
              <w:rPr>
                <w:b/>
                <w:bCs/>
                <w:color w:val="000000" w:themeColor="text1"/>
                <w:lang w:val="en-US"/>
              </w:rPr>
              <w:t>XSCAR</w:t>
            </w:r>
          </w:p>
        </w:tc>
      </w:tr>
      <w:tr w:rsidR="006A2B36" w:rsidRPr="00963300" w14:paraId="722B7E88" w14:textId="77777777" w:rsidTr="000A69D2">
        <w:tc>
          <w:tcPr>
            <w:tcW w:w="704" w:type="dxa"/>
          </w:tcPr>
          <w:p w14:paraId="62081859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i=</w:t>
            </w:r>
            <w:r>
              <w:rPr>
                <w:color w:val="000000" w:themeColor="text1"/>
                <w:lang w:val="en-US"/>
              </w:rPr>
              <w:t>24</w:t>
            </w:r>
          </w:p>
        </w:tc>
        <w:tc>
          <w:tcPr>
            <w:tcW w:w="851" w:type="dxa"/>
          </w:tcPr>
          <w:p w14:paraId="6B9B01A5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EQ</w:t>
            </w:r>
          </w:p>
        </w:tc>
        <w:tc>
          <w:tcPr>
            <w:tcW w:w="1417" w:type="dxa"/>
          </w:tcPr>
          <w:p w14:paraId="349B05B0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ASX SPI 200</w:t>
            </w:r>
          </w:p>
        </w:tc>
        <w:tc>
          <w:tcPr>
            <w:tcW w:w="851" w:type="dxa"/>
          </w:tcPr>
          <w:p w14:paraId="3A35F666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XP</w:t>
            </w:r>
          </w:p>
        </w:tc>
        <w:tc>
          <w:tcPr>
            <w:tcW w:w="1134" w:type="dxa"/>
          </w:tcPr>
          <w:p w14:paraId="433A6924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Index</w:t>
            </w:r>
          </w:p>
        </w:tc>
        <w:tc>
          <w:tcPr>
            <w:tcW w:w="1134" w:type="dxa"/>
          </w:tcPr>
          <w:p w14:paraId="32E06BDC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AUD</w:t>
            </w:r>
            <w:r>
              <w:rPr>
                <w:color w:val="000000" w:themeColor="text1"/>
                <w:lang w:val="en-US"/>
              </w:rPr>
              <w:t>/EUR</w:t>
            </w:r>
          </w:p>
        </w:tc>
        <w:tc>
          <w:tcPr>
            <w:tcW w:w="992" w:type="dxa"/>
          </w:tcPr>
          <w:p w14:paraId="6696B255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83" w:type="dxa"/>
          </w:tcPr>
          <w:p w14:paraId="3E4457CC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Y</w:t>
            </w:r>
          </w:p>
        </w:tc>
        <w:tc>
          <w:tcPr>
            <w:tcW w:w="426" w:type="dxa"/>
          </w:tcPr>
          <w:p w14:paraId="5EE8FCAF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Y</w:t>
            </w:r>
          </w:p>
        </w:tc>
        <w:tc>
          <w:tcPr>
            <w:tcW w:w="425" w:type="dxa"/>
          </w:tcPr>
          <w:p w14:paraId="2B329BAB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Y</w:t>
            </w:r>
          </w:p>
        </w:tc>
        <w:tc>
          <w:tcPr>
            <w:tcW w:w="425" w:type="dxa"/>
          </w:tcPr>
          <w:p w14:paraId="4F8ABDA5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Y</w:t>
            </w:r>
          </w:p>
        </w:tc>
        <w:tc>
          <w:tcPr>
            <w:tcW w:w="420" w:type="dxa"/>
          </w:tcPr>
          <w:p w14:paraId="189A4A92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Y</w:t>
            </w:r>
          </w:p>
        </w:tc>
      </w:tr>
      <w:tr w:rsidR="006A2B36" w:rsidRPr="00963300" w14:paraId="54C0E094" w14:textId="77777777" w:rsidTr="000A69D2">
        <w:tc>
          <w:tcPr>
            <w:tcW w:w="704" w:type="dxa"/>
          </w:tcPr>
          <w:p w14:paraId="09A209CA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[…]</w:t>
            </w:r>
          </w:p>
        </w:tc>
        <w:tc>
          <w:tcPr>
            <w:tcW w:w="851" w:type="dxa"/>
          </w:tcPr>
          <w:p w14:paraId="285E50E4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417" w:type="dxa"/>
          </w:tcPr>
          <w:p w14:paraId="455211BF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851" w:type="dxa"/>
          </w:tcPr>
          <w:p w14:paraId="787F9AD5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</w:tcPr>
          <w:p w14:paraId="5263E466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</w:tcPr>
          <w:p w14:paraId="5D3E032E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992" w:type="dxa"/>
          </w:tcPr>
          <w:p w14:paraId="2F0CEBA8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283" w:type="dxa"/>
          </w:tcPr>
          <w:p w14:paraId="1DB94DBF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6" w:type="dxa"/>
          </w:tcPr>
          <w:p w14:paraId="68E85753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14:paraId="346AFB2C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14:paraId="07328FAB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0" w:type="dxa"/>
          </w:tcPr>
          <w:p w14:paraId="39BE4DF1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</w:tr>
      <w:tr w:rsidR="006A2B36" w:rsidRPr="00963300" w14:paraId="0FBB8CDE" w14:textId="77777777" w:rsidTr="000A69D2">
        <w:tc>
          <w:tcPr>
            <w:tcW w:w="704" w:type="dxa"/>
          </w:tcPr>
          <w:p w14:paraId="0674794B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i=</w:t>
            </w:r>
            <w:r>
              <w:rPr>
                <w:color w:val="000000" w:themeColor="text1"/>
                <w:lang w:val="en-US"/>
              </w:rPr>
              <w:t>3</w:t>
            </w:r>
            <w:r w:rsidRPr="00963300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851" w:type="dxa"/>
          </w:tcPr>
          <w:p w14:paraId="3D5DD876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FI</w:t>
            </w:r>
          </w:p>
        </w:tc>
        <w:tc>
          <w:tcPr>
            <w:tcW w:w="1417" w:type="dxa"/>
          </w:tcPr>
          <w:p w14:paraId="5445F2C5" w14:textId="77777777" w:rsidR="006A2B36" w:rsidRPr="00386D14" w:rsidRDefault="006A2B36" w:rsidP="000A69D2">
            <w:pPr>
              <w:spacing w:after="100" w:afterAutospacing="1" w:line="360" w:lineRule="auto"/>
              <w:rPr>
                <w:color w:val="000000" w:themeColor="text1"/>
                <w:lang w:val="fr-FR"/>
              </w:rPr>
            </w:pPr>
            <w:r w:rsidRPr="00386D14">
              <w:rPr>
                <w:color w:val="000000" w:themeColor="text1"/>
                <w:lang w:val="fr-FR"/>
              </w:rPr>
              <w:t>ASX 10Y Australian T-Bonds</w:t>
            </w:r>
          </w:p>
        </w:tc>
        <w:tc>
          <w:tcPr>
            <w:tcW w:w="851" w:type="dxa"/>
          </w:tcPr>
          <w:p w14:paraId="1A7F497C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XM</w:t>
            </w:r>
          </w:p>
        </w:tc>
        <w:tc>
          <w:tcPr>
            <w:tcW w:w="1134" w:type="dxa"/>
          </w:tcPr>
          <w:p w14:paraId="2032CC53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Comdty</w:t>
            </w:r>
          </w:p>
        </w:tc>
        <w:tc>
          <w:tcPr>
            <w:tcW w:w="1134" w:type="dxa"/>
          </w:tcPr>
          <w:p w14:paraId="57D5616B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AUD</w:t>
            </w:r>
            <w:r>
              <w:rPr>
                <w:color w:val="000000" w:themeColor="text1"/>
                <w:lang w:val="en-US"/>
              </w:rPr>
              <w:t>/EUR</w:t>
            </w:r>
          </w:p>
        </w:tc>
        <w:tc>
          <w:tcPr>
            <w:tcW w:w="992" w:type="dxa"/>
          </w:tcPr>
          <w:p w14:paraId="30073AD6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83" w:type="dxa"/>
          </w:tcPr>
          <w:p w14:paraId="2068EBFA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Y</w:t>
            </w:r>
          </w:p>
        </w:tc>
        <w:tc>
          <w:tcPr>
            <w:tcW w:w="426" w:type="dxa"/>
          </w:tcPr>
          <w:p w14:paraId="74318D31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Y</w:t>
            </w:r>
          </w:p>
        </w:tc>
        <w:tc>
          <w:tcPr>
            <w:tcW w:w="425" w:type="dxa"/>
          </w:tcPr>
          <w:p w14:paraId="2C02738F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Y</w:t>
            </w:r>
          </w:p>
        </w:tc>
        <w:tc>
          <w:tcPr>
            <w:tcW w:w="425" w:type="dxa"/>
          </w:tcPr>
          <w:p w14:paraId="7517F802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N</w:t>
            </w:r>
          </w:p>
        </w:tc>
        <w:tc>
          <w:tcPr>
            <w:tcW w:w="420" w:type="dxa"/>
          </w:tcPr>
          <w:p w14:paraId="3392545F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N</w:t>
            </w:r>
          </w:p>
        </w:tc>
      </w:tr>
      <w:tr w:rsidR="006A2B36" w:rsidRPr="00963300" w14:paraId="1FA2342A" w14:textId="77777777" w:rsidTr="000A69D2">
        <w:tc>
          <w:tcPr>
            <w:tcW w:w="704" w:type="dxa"/>
          </w:tcPr>
          <w:p w14:paraId="2917D7A6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lastRenderedPageBreak/>
              <w:t>i=35</w:t>
            </w:r>
          </w:p>
        </w:tc>
        <w:tc>
          <w:tcPr>
            <w:tcW w:w="851" w:type="dxa"/>
          </w:tcPr>
          <w:p w14:paraId="12B8BB39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FX</w:t>
            </w:r>
          </w:p>
        </w:tc>
        <w:tc>
          <w:tcPr>
            <w:tcW w:w="1417" w:type="dxa"/>
          </w:tcPr>
          <w:p w14:paraId="53F32ADC" w14:textId="77777777" w:rsidR="006A2B36" w:rsidRPr="00386D14" w:rsidRDefault="006A2B36" w:rsidP="000A69D2">
            <w:pPr>
              <w:spacing w:after="100" w:afterAutospacing="1" w:line="360" w:lineRule="auto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en-US"/>
              </w:rPr>
              <w:t>CME AUD/USD</w:t>
            </w:r>
          </w:p>
        </w:tc>
        <w:tc>
          <w:tcPr>
            <w:tcW w:w="851" w:type="dxa"/>
          </w:tcPr>
          <w:p w14:paraId="32C019C2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[…]</w:t>
            </w:r>
          </w:p>
        </w:tc>
        <w:tc>
          <w:tcPr>
            <w:tcW w:w="1134" w:type="dxa"/>
          </w:tcPr>
          <w:p w14:paraId="0EA8E72B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</w:tcPr>
          <w:p w14:paraId="00B91F3D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992" w:type="dxa"/>
          </w:tcPr>
          <w:p w14:paraId="58F006A1" w14:textId="77777777" w:rsidR="006A2B36" w:rsidRPr="00963300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283" w:type="dxa"/>
          </w:tcPr>
          <w:p w14:paraId="0B3B336C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6" w:type="dxa"/>
          </w:tcPr>
          <w:p w14:paraId="79306882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14:paraId="51263EDC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14:paraId="43464CAC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0" w:type="dxa"/>
          </w:tcPr>
          <w:p w14:paraId="7AF838A6" w14:textId="77777777" w:rsidR="006A2B36" w:rsidRDefault="006A2B36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</w:tr>
    </w:tbl>
    <w:p w14:paraId="680E781D" w14:textId="5DEDA2FB" w:rsidR="0013534A" w:rsidRDefault="0013534A" w:rsidP="004A428F">
      <w:pPr>
        <w:spacing w:before="0" w:after="160" w:line="259" w:lineRule="auto"/>
        <w:jc w:val="left"/>
        <w:rPr>
          <w:lang w:val="fr-FR"/>
        </w:rPr>
      </w:pPr>
      <w:r>
        <w:rPr>
          <w:lang w:val="fr-FR"/>
        </w:rPr>
        <w:t>[…]</w:t>
      </w:r>
    </w:p>
    <w:p w14:paraId="3A455155" w14:textId="7EAB6B8B" w:rsidR="0013534A" w:rsidRPr="0013534A" w:rsidRDefault="0013534A" w:rsidP="004A428F">
      <w:pPr>
        <w:spacing w:before="0" w:after="160" w:line="259" w:lineRule="auto"/>
        <w:jc w:val="left"/>
        <w:rPr>
          <w:lang w:val="en-US"/>
        </w:rPr>
      </w:pPr>
      <w:r w:rsidRPr="0013534A">
        <w:rPr>
          <w:lang w:val="en-US"/>
        </w:rPr>
        <w:t>To (new version) :</w:t>
      </w:r>
    </w:p>
    <w:p w14:paraId="130317A2" w14:textId="6A7598A4" w:rsidR="0013534A" w:rsidRPr="0013534A" w:rsidRDefault="0013534A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[…] Excerpt from 2.</w:t>
      </w:r>
      <w:r w:rsidR="006A2B36">
        <w:rPr>
          <w:lang w:val="en-GB"/>
        </w:rPr>
        <w:t>2</w:t>
      </w:r>
      <w:r>
        <w:rPr>
          <w:lang w:val="en-GB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1417"/>
        <w:gridCol w:w="851"/>
        <w:gridCol w:w="1134"/>
        <w:gridCol w:w="1134"/>
        <w:gridCol w:w="992"/>
        <w:gridCol w:w="283"/>
        <w:gridCol w:w="426"/>
        <w:gridCol w:w="425"/>
        <w:gridCol w:w="425"/>
        <w:gridCol w:w="420"/>
      </w:tblGrid>
      <w:tr w:rsidR="00F97B82" w:rsidRPr="00F97B82" w14:paraId="5C168F06" w14:textId="77777777" w:rsidTr="000A69D2">
        <w:tc>
          <w:tcPr>
            <w:tcW w:w="704" w:type="dxa"/>
          </w:tcPr>
          <w:p w14:paraId="0C796212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#i</w:t>
            </w:r>
          </w:p>
        </w:tc>
        <w:tc>
          <w:tcPr>
            <w:tcW w:w="851" w:type="dxa"/>
          </w:tcPr>
          <w:p w14:paraId="27B3F620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Asset Class</w:t>
            </w:r>
          </w:p>
        </w:tc>
        <w:tc>
          <w:tcPr>
            <w:tcW w:w="1417" w:type="dxa"/>
          </w:tcPr>
          <w:p w14:paraId="3DF5FC32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Futures Market</w:t>
            </w:r>
          </w:p>
        </w:tc>
        <w:tc>
          <w:tcPr>
            <w:tcW w:w="851" w:type="dxa"/>
          </w:tcPr>
          <w:p w14:paraId="20D8EA73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Ticker Prefix</w:t>
            </w:r>
          </w:p>
        </w:tc>
        <w:tc>
          <w:tcPr>
            <w:tcW w:w="1134" w:type="dxa"/>
          </w:tcPr>
          <w:p w14:paraId="3CA700EA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Ticker Extension</w:t>
            </w:r>
          </w:p>
        </w:tc>
        <w:tc>
          <w:tcPr>
            <w:tcW w:w="1134" w:type="dxa"/>
          </w:tcPr>
          <w:p w14:paraId="6DDAE141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FX rate</w:t>
            </w:r>
          </w:p>
        </w:tc>
        <w:tc>
          <w:tcPr>
            <w:tcW w:w="992" w:type="dxa"/>
          </w:tcPr>
          <w:p w14:paraId="01006910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TC in NB Ticks</w:t>
            </w:r>
          </w:p>
        </w:tc>
        <w:tc>
          <w:tcPr>
            <w:tcW w:w="283" w:type="dxa"/>
          </w:tcPr>
          <w:p w14:paraId="07CB3467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Beta</w:t>
            </w:r>
          </w:p>
        </w:tc>
        <w:tc>
          <w:tcPr>
            <w:tcW w:w="426" w:type="dxa"/>
          </w:tcPr>
          <w:p w14:paraId="19A5FFA1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TSMOM</w:t>
            </w:r>
          </w:p>
        </w:tc>
        <w:tc>
          <w:tcPr>
            <w:tcW w:w="425" w:type="dxa"/>
          </w:tcPr>
          <w:p w14:paraId="104C88EA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XSMOM</w:t>
            </w:r>
          </w:p>
        </w:tc>
        <w:tc>
          <w:tcPr>
            <w:tcW w:w="425" w:type="dxa"/>
          </w:tcPr>
          <w:p w14:paraId="632D246D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TSCAR</w:t>
            </w:r>
          </w:p>
        </w:tc>
        <w:tc>
          <w:tcPr>
            <w:tcW w:w="420" w:type="dxa"/>
          </w:tcPr>
          <w:p w14:paraId="55DB609F" w14:textId="77777777" w:rsidR="00F97B82" w:rsidRPr="00F97B82" w:rsidRDefault="00F97B82" w:rsidP="000A69D2">
            <w:pPr>
              <w:spacing w:after="100" w:afterAutospacing="1" w:line="360" w:lineRule="auto"/>
              <w:rPr>
                <w:b/>
                <w:bCs/>
                <w:color w:val="000000" w:themeColor="text1"/>
                <w:lang w:val="en-US"/>
              </w:rPr>
            </w:pPr>
            <w:r w:rsidRPr="00F97B82">
              <w:rPr>
                <w:b/>
                <w:bCs/>
                <w:color w:val="000000" w:themeColor="text1"/>
                <w:lang w:val="en-US"/>
              </w:rPr>
              <w:t>XSCAR</w:t>
            </w:r>
          </w:p>
        </w:tc>
      </w:tr>
      <w:tr w:rsidR="00F97B82" w:rsidRPr="00963300" w14:paraId="2CFD4C8E" w14:textId="77777777" w:rsidTr="000A69D2">
        <w:tc>
          <w:tcPr>
            <w:tcW w:w="704" w:type="dxa"/>
          </w:tcPr>
          <w:p w14:paraId="6879BC28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i=</w:t>
            </w:r>
            <w:r>
              <w:rPr>
                <w:color w:val="000000" w:themeColor="text1"/>
                <w:lang w:val="en-US"/>
              </w:rPr>
              <w:t>24</w:t>
            </w:r>
          </w:p>
        </w:tc>
        <w:tc>
          <w:tcPr>
            <w:tcW w:w="851" w:type="dxa"/>
          </w:tcPr>
          <w:p w14:paraId="213448B6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EQ</w:t>
            </w:r>
          </w:p>
        </w:tc>
        <w:tc>
          <w:tcPr>
            <w:tcW w:w="1417" w:type="dxa"/>
          </w:tcPr>
          <w:p w14:paraId="6DD64375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HKFE HSCEI</w:t>
            </w:r>
          </w:p>
        </w:tc>
        <w:tc>
          <w:tcPr>
            <w:tcW w:w="851" w:type="dxa"/>
          </w:tcPr>
          <w:p w14:paraId="4FE6DB6F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HC</w:t>
            </w:r>
          </w:p>
        </w:tc>
        <w:tc>
          <w:tcPr>
            <w:tcW w:w="1134" w:type="dxa"/>
          </w:tcPr>
          <w:p w14:paraId="667D1BF2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Index</w:t>
            </w:r>
          </w:p>
        </w:tc>
        <w:tc>
          <w:tcPr>
            <w:tcW w:w="1134" w:type="dxa"/>
          </w:tcPr>
          <w:p w14:paraId="68A5FEF5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HKD/EUR</w:t>
            </w:r>
          </w:p>
        </w:tc>
        <w:tc>
          <w:tcPr>
            <w:tcW w:w="992" w:type="dxa"/>
          </w:tcPr>
          <w:p w14:paraId="4332FA5C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83" w:type="dxa"/>
          </w:tcPr>
          <w:p w14:paraId="15BB70D8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Y</w:t>
            </w:r>
          </w:p>
        </w:tc>
        <w:tc>
          <w:tcPr>
            <w:tcW w:w="426" w:type="dxa"/>
          </w:tcPr>
          <w:p w14:paraId="52E4C4A4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N</w:t>
            </w:r>
          </w:p>
        </w:tc>
        <w:tc>
          <w:tcPr>
            <w:tcW w:w="425" w:type="dxa"/>
          </w:tcPr>
          <w:p w14:paraId="2D58ADEE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N</w:t>
            </w:r>
          </w:p>
        </w:tc>
        <w:tc>
          <w:tcPr>
            <w:tcW w:w="425" w:type="dxa"/>
          </w:tcPr>
          <w:p w14:paraId="3E1561F2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N</w:t>
            </w:r>
          </w:p>
        </w:tc>
        <w:tc>
          <w:tcPr>
            <w:tcW w:w="420" w:type="dxa"/>
          </w:tcPr>
          <w:p w14:paraId="555B5CA0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N</w:t>
            </w:r>
          </w:p>
        </w:tc>
      </w:tr>
      <w:tr w:rsidR="00F97B82" w:rsidRPr="00963300" w14:paraId="4ECFCC82" w14:textId="77777777" w:rsidTr="000A69D2">
        <w:tc>
          <w:tcPr>
            <w:tcW w:w="704" w:type="dxa"/>
          </w:tcPr>
          <w:p w14:paraId="0C6EA2AE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[…]</w:t>
            </w:r>
          </w:p>
        </w:tc>
        <w:tc>
          <w:tcPr>
            <w:tcW w:w="851" w:type="dxa"/>
          </w:tcPr>
          <w:p w14:paraId="0B639E71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417" w:type="dxa"/>
          </w:tcPr>
          <w:p w14:paraId="07C2157E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851" w:type="dxa"/>
          </w:tcPr>
          <w:p w14:paraId="3BBF3E58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</w:tcPr>
          <w:p w14:paraId="32C778F5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</w:tcPr>
          <w:p w14:paraId="29781151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992" w:type="dxa"/>
          </w:tcPr>
          <w:p w14:paraId="7E3D20BF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283" w:type="dxa"/>
          </w:tcPr>
          <w:p w14:paraId="0A1E34CE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6" w:type="dxa"/>
          </w:tcPr>
          <w:p w14:paraId="43DC683A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14:paraId="7997450B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14:paraId="3B40BE3E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0" w:type="dxa"/>
          </w:tcPr>
          <w:p w14:paraId="3DCF251E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</w:tr>
      <w:tr w:rsidR="00F97B82" w:rsidRPr="00963300" w14:paraId="13A421F5" w14:textId="77777777" w:rsidTr="000A69D2">
        <w:tc>
          <w:tcPr>
            <w:tcW w:w="704" w:type="dxa"/>
          </w:tcPr>
          <w:p w14:paraId="14E5848D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i=34</w:t>
            </w:r>
          </w:p>
        </w:tc>
        <w:tc>
          <w:tcPr>
            <w:tcW w:w="851" w:type="dxa"/>
          </w:tcPr>
          <w:p w14:paraId="441AC939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FX</w:t>
            </w:r>
          </w:p>
        </w:tc>
        <w:tc>
          <w:tcPr>
            <w:tcW w:w="1417" w:type="dxa"/>
          </w:tcPr>
          <w:p w14:paraId="52A66BCB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CME AUD/USD</w:t>
            </w:r>
          </w:p>
        </w:tc>
        <w:tc>
          <w:tcPr>
            <w:tcW w:w="851" w:type="dxa"/>
          </w:tcPr>
          <w:p w14:paraId="55822DA7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  <w:r w:rsidRPr="00963300">
              <w:rPr>
                <w:color w:val="000000" w:themeColor="text1"/>
                <w:lang w:val="en-US"/>
              </w:rPr>
              <w:t>[…]</w:t>
            </w:r>
          </w:p>
        </w:tc>
        <w:tc>
          <w:tcPr>
            <w:tcW w:w="1134" w:type="dxa"/>
          </w:tcPr>
          <w:p w14:paraId="7E1E3083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</w:tcPr>
          <w:p w14:paraId="6738116A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992" w:type="dxa"/>
          </w:tcPr>
          <w:p w14:paraId="6D010B36" w14:textId="77777777" w:rsidR="00F97B82" w:rsidRPr="00963300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283" w:type="dxa"/>
          </w:tcPr>
          <w:p w14:paraId="5C18128C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6" w:type="dxa"/>
          </w:tcPr>
          <w:p w14:paraId="228C6F7C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14:paraId="009DADBC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14:paraId="3C1EB5ED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420" w:type="dxa"/>
          </w:tcPr>
          <w:p w14:paraId="01361A85" w14:textId="77777777" w:rsidR="00F97B82" w:rsidRDefault="00F97B82" w:rsidP="000A69D2">
            <w:pPr>
              <w:spacing w:after="100" w:afterAutospacing="1" w:line="360" w:lineRule="auto"/>
              <w:rPr>
                <w:color w:val="000000" w:themeColor="text1"/>
                <w:lang w:val="en-US"/>
              </w:rPr>
            </w:pPr>
          </w:p>
        </w:tc>
      </w:tr>
    </w:tbl>
    <w:p w14:paraId="09A0D376" w14:textId="297E0AE7" w:rsidR="0013534A" w:rsidRDefault="0013534A" w:rsidP="004A428F">
      <w:pPr>
        <w:spacing w:before="0" w:after="160" w:line="259" w:lineRule="auto"/>
        <w:jc w:val="left"/>
        <w:rPr>
          <w:lang w:val="fr-FR"/>
        </w:rPr>
      </w:pPr>
      <w:r>
        <w:rPr>
          <w:lang w:val="fr-FR"/>
        </w:rPr>
        <w:t>[…]</w:t>
      </w:r>
    </w:p>
    <w:p w14:paraId="6374FAF6" w14:textId="77777777" w:rsidR="0013534A" w:rsidRPr="0013534A" w:rsidRDefault="0013534A" w:rsidP="004A428F">
      <w:pPr>
        <w:spacing w:before="0" w:after="160" w:line="259" w:lineRule="auto"/>
        <w:jc w:val="left"/>
        <w:rPr>
          <w:lang w:val="fr-FR"/>
        </w:rPr>
      </w:pPr>
    </w:p>
    <w:p w14:paraId="45154AF2" w14:textId="6B40EAA5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415405AA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3B2D6F">
        <w:rPr>
          <w:lang w:val="en-US"/>
        </w:rPr>
        <w:t xml:space="preserve"> </w:t>
      </w:r>
      <w:r w:rsidR="003B2D6F">
        <w:rPr>
          <w:rFonts w:eastAsia="Calibri"/>
          <w:color w:val="000000"/>
          <w:sz w:val="22"/>
          <w:szCs w:val="22"/>
          <w:lang w:val="en-US" w:eastAsia="en-US"/>
        </w:rPr>
        <w:t xml:space="preserve">FIVE </w:t>
      </w:r>
      <w:r w:rsidR="006A2B36">
        <w:rPr>
          <w:rFonts w:eastAsia="Calibri"/>
          <w:color w:val="000000"/>
          <w:sz w:val="22"/>
          <w:szCs w:val="22"/>
          <w:lang w:val="en-US" w:eastAsia="en-US"/>
        </w:rPr>
        <w:t>Pension Strategy</w:t>
      </w:r>
      <w:r w:rsidR="003B2D6F">
        <w:rPr>
          <w:rFonts w:eastAsia="Calibri"/>
          <w:color w:val="000000"/>
          <w:sz w:val="22"/>
          <w:szCs w:val="22"/>
          <w:lang w:val="en-US" w:eastAsia="en-US"/>
        </w:rPr>
        <w:t xml:space="preserve"> Index</w:t>
      </w:r>
      <w:r w:rsidR="00591607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6A2B36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56306318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13534A">
        <w:rPr>
          <w:lang w:val="en-US"/>
        </w:rPr>
        <w:t>2</w:t>
      </w:r>
      <w:r w:rsidR="006A2B36">
        <w:rPr>
          <w:lang w:val="en-US"/>
        </w:rPr>
        <w:t>4</w:t>
      </w:r>
      <w:r w:rsidR="006A2B36">
        <w:rPr>
          <w:vertAlign w:val="superscript"/>
          <w:lang w:val="en-US"/>
        </w:rPr>
        <w:t>th</w:t>
      </w:r>
      <w:r w:rsidR="003B2D6F">
        <w:rPr>
          <w:lang w:val="en-US"/>
        </w:rPr>
        <w:t xml:space="preserve"> </w:t>
      </w:r>
      <w:r w:rsidR="006A2B36">
        <w:rPr>
          <w:lang w:val="en-US"/>
        </w:rPr>
        <w:t>January</w:t>
      </w:r>
      <w:r w:rsidR="003B2D6F">
        <w:rPr>
          <w:lang w:val="en-US"/>
        </w:rPr>
        <w:t xml:space="preserve"> 202</w:t>
      </w:r>
      <w:r w:rsidR="006A2B36">
        <w:rPr>
          <w:lang w:val="en-US"/>
        </w:rPr>
        <w:t>2</w:t>
      </w:r>
      <w:r w:rsidR="003B2D6F">
        <w:rPr>
          <w:lang w:val="en-US"/>
        </w:rPr>
        <w:t>.</w:t>
      </w:r>
    </w:p>
    <w:p w14:paraId="04131284" w14:textId="59D63C96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3B2D6F">
        <w:rPr>
          <w:lang w:val="en-US"/>
        </w:rPr>
        <w:t>V</w:t>
      </w:r>
      <w:r w:rsidR="006A2B36">
        <w:rPr>
          <w:lang w:val="en-US"/>
        </w:rPr>
        <w:t>PENSION</w:t>
      </w:r>
      <w:r w:rsidR="003B2D6F">
        <w:rPr>
          <w:lang w:val="en-US"/>
        </w:rPr>
        <w:t xml:space="preserve"> Replacement of Australian </w:t>
      </w:r>
      <w:r w:rsidR="0013534A">
        <w:rPr>
          <w:lang w:val="en-US"/>
        </w:rPr>
        <w:t>futures</w:t>
      </w:r>
      <w:r w:rsidR="003B2D6F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F77473" w:rsidRDefault="005055F5" w:rsidP="005055F5">
      <w:pPr>
        <w:spacing w:after="0"/>
        <w:rPr>
          <w:lang w:val="it-IT"/>
        </w:rPr>
      </w:pPr>
      <w:r w:rsidRPr="00F77473">
        <w:rPr>
          <w:lang w:val="it-IT"/>
        </w:rPr>
        <w:t>via postal mail to:</w:t>
      </w:r>
      <w:r w:rsidRPr="00F77473">
        <w:rPr>
          <w:lang w:val="it-IT"/>
        </w:rPr>
        <w:tab/>
      </w:r>
      <w:r w:rsidRPr="00F77473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6A2B36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4E30AD8E" w:rsidR="005055F5" w:rsidRDefault="005055F5" w:rsidP="0063592D">
      <w:pPr>
        <w:rPr>
          <w:lang w:val="en-GB"/>
        </w:rPr>
      </w:pPr>
    </w:p>
    <w:p w14:paraId="3C7F12C7" w14:textId="72002F3C" w:rsidR="00273ECA" w:rsidRDefault="00273ECA" w:rsidP="0063592D">
      <w:pPr>
        <w:rPr>
          <w:lang w:val="en-GB"/>
        </w:rPr>
      </w:pPr>
    </w:p>
    <w:p w14:paraId="0C2113ED" w14:textId="6C0619C7" w:rsidR="00273ECA" w:rsidRDefault="00273ECA" w:rsidP="0063592D">
      <w:pPr>
        <w:rPr>
          <w:lang w:val="en-GB"/>
        </w:rPr>
      </w:pPr>
    </w:p>
    <w:p w14:paraId="4117C75A" w14:textId="48479C70" w:rsidR="00273ECA" w:rsidRDefault="00273ECA" w:rsidP="0063592D">
      <w:pPr>
        <w:rPr>
          <w:lang w:val="en-GB"/>
        </w:rPr>
      </w:pPr>
    </w:p>
    <w:p w14:paraId="7E495F3B" w14:textId="5FD765E0" w:rsidR="00273ECA" w:rsidRDefault="00273ECA" w:rsidP="0063592D">
      <w:pPr>
        <w:rPr>
          <w:lang w:val="en-GB"/>
        </w:rPr>
      </w:pPr>
    </w:p>
    <w:p w14:paraId="656C1D90" w14:textId="7FB6F952" w:rsidR="00273ECA" w:rsidRDefault="00273ECA" w:rsidP="0063592D">
      <w:pPr>
        <w:rPr>
          <w:lang w:val="en-GB"/>
        </w:rPr>
      </w:pPr>
    </w:p>
    <w:p w14:paraId="2987C117" w14:textId="58076466" w:rsidR="00273ECA" w:rsidRDefault="00273ECA" w:rsidP="0063592D">
      <w:pPr>
        <w:rPr>
          <w:lang w:val="en-GB"/>
        </w:rPr>
      </w:pPr>
    </w:p>
    <w:p w14:paraId="2EA37D1D" w14:textId="51039621" w:rsidR="00273ECA" w:rsidRDefault="00273ECA" w:rsidP="0063592D">
      <w:pPr>
        <w:rPr>
          <w:lang w:val="en-GB"/>
        </w:rPr>
      </w:pPr>
    </w:p>
    <w:p w14:paraId="11A34C9A" w14:textId="40BE76E7" w:rsidR="00273ECA" w:rsidRDefault="00273ECA" w:rsidP="0063592D">
      <w:pPr>
        <w:rPr>
          <w:lang w:val="en-GB"/>
        </w:rPr>
      </w:pPr>
    </w:p>
    <w:p w14:paraId="65E45648" w14:textId="03CEE43F" w:rsidR="00273ECA" w:rsidRDefault="00273ECA" w:rsidP="0063592D">
      <w:pPr>
        <w:rPr>
          <w:lang w:val="en-GB"/>
        </w:rPr>
      </w:pPr>
    </w:p>
    <w:p w14:paraId="3317016E" w14:textId="149EA9D0" w:rsidR="00273ECA" w:rsidRDefault="00273ECA" w:rsidP="0063592D">
      <w:pPr>
        <w:rPr>
          <w:lang w:val="en-GB"/>
        </w:rPr>
      </w:pPr>
    </w:p>
    <w:p w14:paraId="25E543AA" w14:textId="6761A5F3" w:rsidR="00273ECA" w:rsidRDefault="00273ECA" w:rsidP="0063592D">
      <w:pPr>
        <w:rPr>
          <w:lang w:val="en-GB"/>
        </w:rPr>
      </w:pPr>
    </w:p>
    <w:p w14:paraId="28284946" w14:textId="2C8FCEC8" w:rsidR="00273ECA" w:rsidRDefault="00273ECA" w:rsidP="0063592D">
      <w:pPr>
        <w:rPr>
          <w:lang w:val="en-GB"/>
        </w:rPr>
      </w:pPr>
    </w:p>
    <w:p w14:paraId="23FCAC05" w14:textId="2F5FFBBB" w:rsidR="00273ECA" w:rsidRDefault="00273ECA" w:rsidP="0063592D">
      <w:pPr>
        <w:rPr>
          <w:lang w:val="en-GB"/>
        </w:rPr>
      </w:pPr>
    </w:p>
    <w:p w14:paraId="10490C74" w14:textId="5D6F779C" w:rsidR="00273ECA" w:rsidRDefault="00273ECA" w:rsidP="0063592D">
      <w:pPr>
        <w:rPr>
          <w:lang w:val="en-GB"/>
        </w:rPr>
      </w:pPr>
    </w:p>
    <w:p w14:paraId="184C81BA" w14:textId="4A197F2E" w:rsidR="00273ECA" w:rsidRDefault="00273ECA" w:rsidP="0063592D">
      <w:pPr>
        <w:rPr>
          <w:lang w:val="en-GB"/>
        </w:rPr>
      </w:pPr>
    </w:p>
    <w:p w14:paraId="4F30F3E8" w14:textId="2409F036" w:rsidR="00273ECA" w:rsidRDefault="00273ECA" w:rsidP="0063592D">
      <w:pPr>
        <w:rPr>
          <w:lang w:val="en-GB"/>
        </w:rPr>
      </w:pPr>
    </w:p>
    <w:p w14:paraId="2C5114CB" w14:textId="77777777" w:rsidR="00273ECA" w:rsidRDefault="00273ECA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berschrift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F7747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F77473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F77473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F77473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77473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F7747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F7747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77473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F77473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berschrift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F7747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F77473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F77473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F77473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77473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F7747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F7747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77473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F77473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AB62D" w14:textId="77777777" w:rsidR="00CE147A" w:rsidRDefault="00CE147A" w:rsidP="002E70FC">
      <w:pPr>
        <w:spacing w:before="0" w:after="0"/>
      </w:pPr>
      <w:r>
        <w:separator/>
      </w:r>
    </w:p>
  </w:endnote>
  <w:endnote w:type="continuationSeparator" w:id="0">
    <w:p w14:paraId="270C5800" w14:textId="77777777" w:rsidR="00CE147A" w:rsidRDefault="00CE147A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A757D8-B300-44AD-B426-454E278804C7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26F03C66-D4BB-45C6-8246-C3E2D9BA497E}"/>
    <w:embedBold r:id="rId3" w:fontKey="{5C759243-C5D3-4171-AB42-A9F39407B76D}"/>
    <w:embedItalic r:id="rId4" w:fontKey="{723A3ADB-6DE3-4565-9645-B416A8B449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4BEACD1-6892-4509-BC3A-BB5C5D2602E6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115A444A-5930-4E1C-8237-8F34FF47CEC8}"/>
    <w:embedBold r:id="rId7" w:fontKey="{0EA49302-1EB3-476B-8E32-2413D79EE9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5FFDBBE-4735-4622-84E2-1D3297816B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uzeile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DF870" w14:textId="77777777" w:rsidR="00CE147A" w:rsidRDefault="00CE147A" w:rsidP="002E70FC">
      <w:pPr>
        <w:spacing w:before="0" w:after="0"/>
      </w:pPr>
      <w:r>
        <w:separator/>
      </w:r>
    </w:p>
  </w:footnote>
  <w:footnote w:type="continuationSeparator" w:id="0">
    <w:p w14:paraId="030DB472" w14:textId="77777777" w:rsidR="00CE147A" w:rsidRDefault="00CE147A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7DCAB6E0" w:rsidR="00466905" w:rsidRPr="00E06A59" w:rsidRDefault="00466905" w:rsidP="00960D2A">
    <w:pPr>
      <w:pStyle w:val="Kopfzeile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A2B36">
          <w:rPr>
            <w:lang w:val="en-US"/>
          </w:rPr>
          <w:t>Market Consultation VPENSION Replacement of Australian Futures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360039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5.9pt;height:19.9pt" o:bullet="t">
        <v:imagedata r:id="rId1" o:title="S_Icons-Haken_02"/>
      </v:shape>
    </w:pict>
  </w:numPicBullet>
  <w:numPicBullet w:numPicBulletId="1">
    <w:pict>
      <v:shape id="_x0000_i1040" type="#_x0000_t75" style="width:19.9pt;height:19.9pt" o:bullet="t">
        <v:imagedata r:id="rId2" o:title="S_Icons-Pfeil_02"/>
      </v:shape>
    </w:pict>
  </w:numPicBullet>
  <w:numPicBullet w:numPicBulletId="2">
    <w:pict>
      <v:shape id="_x0000_i1041" type="#_x0000_t75" style="width:15.35pt;height:15.85pt" o:bullet="t">
        <v:imagedata r:id="rId3" o:title="Bullet_2_Indices_Small"/>
      </v:shape>
    </w:pict>
  </w:numPicBullet>
  <w:numPicBullet w:numPicBulletId="3">
    <w:pict>
      <v:shape id="_x0000_i1042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08"/>
  <w:hyphenationZone w:val="425"/>
  <w:characterSpacingControl w:val="doNotCompress"/>
  <w:hdrShapeDefaults>
    <o:shapedefaults v:ext="edit" spidmax="6145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34A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3ECA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2D6F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A2B36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33B0F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53A62"/>
    <w:rsid w:val="00B61371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137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E147A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473"/>
    <w:rsid w:val="00F77D37"/>
    <w:rsid w:val="00F8097C"/>
    <w:rsid w:val="00F863D9"/>
    <w:rsid w:val="00F9255A"/>
    <w:rsid w:val="00F948C6"/>
    <w:rsid w:val="00F964E4"/>
    <w:rsid w:val="00F97AFE"/>
    <w:rsid w:val="00F97B82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806be4"/>
    </o:shapedefaults>
    <o:shapelayout v:ext="edit">
      <o:idmap v:ext="edit" data="2"/>
    </o:shapelayout>
  </w:shapeDefaults>
  <w:decimalSymbol w:val=",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KopfzeileZchn">
    <w:name w:val="Kopfzeile Zchn"/>
    <w:basedOn w:val="Absatz-Standardschriftart"/>
    <w:link w:val="Kopfzeile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KeinLeerraum">
    <w:name w:val="No Spacing"/>
    <w:link w:val="KeinLeerraumZchn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75079"/>
    <w:pPr>
      <w:spacing w:after="100"/>
    </w:pPr>
    <w:rPr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Absatz-Standardschriftar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tzhaltertext">
    <w:name w:val="Placeholder Text"/>
    <w:basedOn w:val="Absatz-Standardschriftart"/>
    <w:uiPriority w:val="99"/>
    <w:semiHidden/>
    <w:rsid w:val="00592EE3"/>
    <w:rPr>
      <w:color w:val="808080"/>
    </w:rPr>
  </w:style>
  <w:style w:type="paragraph" w:styleId="Listenabsatz">
    <w:name w:val="List Paragraph"/>
    <w:basedOn w:val="Standard"/>
    <w:uiPriority w:val="34"/>
    <w:qFormat/>
    <w:rsid w:val="00983D90"/>
    <w:pPr>
      <w:ind w:left="7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35E34"/>
    <w:rPr>
      <w:vertAlign w:val="superscript"/>
    </w:rPr>
  </w:style>
  <w:style w:type="paragraph" w:styleId="Verzeichnis2">
    <w:name w:val="toc 2"/>
    <w:basedOn w:val="Standard"/>
    <w:next w:val="Standard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chwacheHervorhebung">
    <w:name w:val="Subtle Emphasis"/>
    <w:basedOn w:val="Absatz-Standardschriftar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Fett">
    <w:name w:val="Strong"/>
    <w:basedOn w:val="Absatz-Standardschriftar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chwacherVerweis">
    <w:name w:val="Subtle Reference"/>
    <w:basedOn w:val="Absatz-Standardschriftar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30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30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30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13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tzhalt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B9286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tzhaltertext">
    <w:name w:val="Placeholder Text"/>
    <w:basedOn w:val="Absatz-Standardschriftar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EDD6BA-7FC7-4365-AED6-90307224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350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FWUGLOBC/VROBUST Replacement of Australian Futures</vt:lpstr>
      <vt:lpstr>Market Consultation [&lt;insert index name and topic of consultation&gt;]</vt:lpstr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VPENSION Replacement of Australian Futures</dc:title>
  <dc:subject>Calculation Documents &amp; Methodologies</dc:subject>
  <dc:creator>Solactive AG</dc:creator>
  <cp:keywords/>
  <dc:description/>
  <cp:lastModifiedBy>Schröder, Florian</cp:lastModifiedBy>
  <cp:revision>7</cp:revision>
  <cp:lastPrinted>2018-12-10T16:54:00Z</cp:lastPrinted>
  <dcterms:created xsi:type="dcterms:W3CDTF">2021-10-14T13:11:00Z</dcterms:created>
  <dcterms:modified xsi:type="dcterms:W3CDTF">2022-01-17T14:29:00Z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