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60B76259" w:rsidR="0092193A" w:rsidRPr="0097651D" w:rsidRDefault="00C93B3F" w:rsidP="0092193A">
              <w:pPr>
                <w:pStyle w:val="Title"/>
                <w:rPr>
                  <w:lang w:val="en-US"/>
                </w:rPr>
              </w:pPr>
              <w:r w:rsidRPr="00C93B3F">
                <w:rPr>
                  <w:color w:val="FFFFFF" w:themeColor="background1"/>
                  <w:lang w:val="en-US"/>
                </w:rPr>
                <w:t>Market Consultation Solactive Fischer Sports Betting and iGaming Index</w:t>
              </w:r>
              <w:r w:rsidR="00902853">
                <w:rPr>
                  <w:color w:val="FFFFFF" w:themeColor="background1"/>
                  <w:lang w:val="en-US"/>
                </w:rPr>
                <w:t xml:space="preserve"> Change of Mehtodology</w:t>
              </w:r>
              <w:r w:rsidRPr="00C93B3F">
                <w:rPr>
                  <w:color w:val="FFFFFF" w:themeColor="background1"/>
                  <w:lang w:val="en-US"/>
                </w:rPr>
                <w:t xml:space="preserve"> </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DCB7106" w:rsidR="00466905" w:rsidRPr="00D902A1" w:rsidRDefault="005E621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0-15T00:00:00Z">
                                      <w:dateFormat w:val="dd MMMM yyyy"/>
                                      <w:lid w:val="en-GB"/>
                                      <w:storeMappedDataAs w:val="dateTime"/>
                                      <w:calendar w:val="gregorian"/>
                                    </w:date>
                                  </w:sdtPr>
                                  <w:sdtEndPr/>
                                  <w:sdtContent>
                                    <w:r w:rsidR="00C93B3F">
                                      <w:rPr>
                                        <w:color w:val="FFFFFF" w:themeColor="background1"/>
                                        <w:sz w:val="26"/>
                                        <w:szCs w:val="26"/>
                                        <w:lang w:val="en-GB"/>
                                      </w:rPr>
                                      <w:t>15 October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4DCB7106" w:rsidR="00466905" w:rsidRPr="00D902A1" w:rsidRDefault="005E621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0-15T00:00:00Z">
                                <w:dateFormat w:val="dd MMMM yyyy"/>
                                <w:lid w:val="en-GB"/>
                                <w:storeMappedDataAs w:val="dateTime"/>
                                <w:calendar w:val="gregorian"/>
                              </w:date>
                            </w:sdtPr>
                            <w:sdtEndPr/>
                            <w:sdtContent>
                              <w:r w:rsidR="00C93B3F">
                                <w:rPr>
                                  <w:color w:val="FFFFFF" w:themeColor="background1"/>
                                  <w:sz w:val="26"/>
                                  <w:szCs w:val="26"/>
                                  <w:lang w:val="en-GB"/>
                                </w:rPr>
                                <w:t>15 October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6724693A"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C93B3F">
        <w:rPr>
          <w:lang w:val="en-US"/>
        </w:rPr>
        <w:t>Ind</w:t>
      </w:r>
      <w:r w:rsidR="00E05994" w:rsidRPr="00C93B3F">
        <w:rPr>
          <w:lang w:val="en-US"/>
        </w:rPr>
        <w:t>ices</w:t>
      </w:r>
      <w:r w:rsidR="00E05994">
        <w:rPr>
          <w:lang w:val="en-US"/>
        </w:rPr>
        <w:t xml:space="preserve"> (the ‘</w:t>
      </w:r>
      <w:r w:rsidR="00A97E61" w:rsidRPr="00C93B3F">
        <w:rPr>
          <w:lang w:val="en-US"/>
        </w:rPr>
        <w:t>Ind</w:t>
      </w:r>
      <w:r w:rsidR="00E05994" w:rsidRPr="00C93B3F">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C93B3F" w14:paraId="285C0C70" w14:textId="77777777" w:rsidTr="003816CC">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1986C86E" w14:textId="4554FE61" w:rsidR="00C93B3F" w:rsidRPr="003A1DD5" w:rsidRDefault="00C93B3F" w:rsidP="00C93B3F">
            <w:pPr>
              <w:spacing w:line="256" w:lineRule="auto"/>
              <w:rPr>
                <w:rFonts w:eastAsia="Calibri"/>
                <w:color w:val="000000"/>
                <w:sz w:val="22"/>
                <w:szCs w:val="22"/>
                <w:lang w:val="en-US" w:eastAsia="en-US"/>
              </w:rPr>
            </w:pPr>
            <w:bookmarkStart w:id="1" w:name="_Hlk85129757"/>
            <w:proofErr w:type="spellStart"/>
            <w:r w:rsidRPr="00C93B3F">
              <w:rPr>
                <w:rFonts w:ascii="Calibri" w:hAnsi="Calibri" w:cs="Calibri"/>
                <w:color w:val="000000"/>
                <w:sz w:val="22"/>
                <w:szCs w:val="22"/>
                <w:lang w:val="en-US"/>
              </w:rPr>
              <w:t>Solactive</w:t>
            </w:r>
            <w:proofErr w:type="spellEnd"/>
            <w:r w:rsidRPr="00C93B3F">
              <w:rPr>
                <w:rFonts w:ascii="Calibri" w:hAnsi="Calibri" w:cs="Calibri"/>
                <w:color w:val="000000"/>
                <w:sz w:val="22"/>
                <w:szCs w:val="22"/>
                <w:lang w:val="en-US"/>
              </w:rPr>
              <w:t xml:space="preserve"> Fischer Sports Betting and iGaming Index </w:t>
            </w:r>
            <w:bookmarkEnd w:id="1"/>
            <w:r w:rsidRPr="00C93B3F">
              <w:rPr>
                <w:rFonts w:ascii="Calibri" w:hAnsi="Calibri" w:cs="Calibri"/>
                <w:color w:val="000000"/>
                <w:sz w:val="22"/>
                <w:szCs w:val="22"/>
                <w:lang w:val="en-US"/>
              </w:rPr>
              <w:t>PR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62C3F688" w14:textId="68AFB48A" w:rsidR="00C93B3F" w:rsidRDefault="00C93B3F" w:rsidP="00C93B3F">
            <w:pPr>
              <w:spacing w:line="256" w:lineRule="auto"/>
              <w:rPr>
                <w:rFonts w:eastAsia="Calibri"/>
                <w:color w:val="000000"/>
                <w:lang w:val="en-GB" w:eastAsia="en-US"/>
              </w:rPr>
            </w:pPr>
            <w:r>
              <w:rPr>
                <w:rFonts w:ascii="Calibri" w:hAnsi="Calibri" w:cs="Calibri"/>
                <w:color w:val="000000"/>
                <w:sz w:val="22"/>
                <w:szCs w:val="22"/>
              </w:rPr>
              <w:t>.SOLIBETP</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12D59FB1" w14:textId="37AE0227" w:rsidR="00C93B3F" w:rsidRDefault="00C93B3F" w:rsidP="00C93B3F">
            <w:pPr>
              <w:spacing w:line="256" w:lineRule="auto"/>
              <w:rPr>
                <w:rFonts w:eastAsia="Calibri"/>
                <w:color w:val="000000"/>
                <w:lang w:val="en-GB" w:eastAsia="en-US"/>
              </w:rPr>
            </w:pPr>
            <w:r>
              <w:rPr>
                <w:rFonts w:ascii="Calibri" w:hAnsi="Calibri" w:cs="Calibri"/>
                <w:color w:val="000000"/>
                <w:sz w:val="22"/>
                <w:szCs w:val="22"/>
              </w:rPr>
              <w:t>DE000SL0C0F0</w:t>
            </w:r>
          </w:p>
        </w:tc>
      </w:tr>
      <w:tr w:rsidR="00C93B3F" w14:paraId="6AC328DE" w14:textId="77777777" w:rsidTr="003816CC">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08E116D2" w14:textId="29955ADA" w:rsidR="00C93B3F" w:rsidRPr="003A1DD5" w:rsidRDefault="00C93B3F" w:rsidP="00C93B3F">
            <w:pPr>
              <w:spacing w:line="256" w:lineRule="auto"/>
              <w:rPr>
                <w:rFonts w:eastAsia="Calibri"/>
                <w:color w:val="000000"/>
                <w:sz w:val="22"/>
                <w:szCs w:val="22"/>
                <w:lang w:val="en-US" w:eastAsia="en-US"/>
              </w:rPr>
            </w:pPr>
            <w:proofErr w:type="spellStart"/>
            <w:r w:rsidRPr="00C93B3F">
              <w:rPr>
                <w:rFonts w:ascii="Calibri" w:hAnsi="Calibri" w:cs="Calibri"/>
                <w:color w:val="000000"/>
                <w:sz w:val="22"/>
                <w:szCs w:val="22"/>
                <w:lang w:val="en-US"/>
              </w:rPr>
              <w:t>Solactive</w:t>
            </w:r>
            <w:proofErr w:type="spellEnd"/>
            <w:r w:rsidRPr="00C93B3F">
              <w:rPr>
                <w:rFonts w:ascii="Calibri" w:hAnsi="Calibri" w:cs="Calibri"/>
                <w:color w:val="000000"/>
                <w:sz w:val="22"/>
                <w:szCs w:val="22"/>
                <w:lang w:val="en-US"/>
              </w:rPr>
              <w:t xml:space="preserve"> Fischer Sports Betting and iGaming Index NTR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3E3524E5" w14:textId="61CB1803" w:rsidR="00C93B3F" w:rsidRDefault="00C93B3F" w:rsidP="00C93B3F">
            <w:pPr>
              <w:spacing w:line="256" w:lineRule="auto"/>
              <w:rPr>
                <w:rFonts w:eastAsia="Calibri"/>
                <w:color w:val="000000"/>
                <w:lang w:val="en-GB" w:eastAsia="en-US"/>
              </w:rPr>
            </w:pPr>
            <w:r>
              <w:rPr>
                <w:rFonts w:ascii="Calibri" w:hAnsi="Calibri" w:cs="Calibri"/>
                <w:color w:val="000000"/>
                <w:sz w:val="22"/>
                <w:szCs w:val="22"/>
              </w:rPr>
              <w:t>.SOLIBETN</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17D53E49" w14:textId="47651B7B" w:rsidR="00C93B3F" w:rsidRDefault="00C93B3F" w:rsidP="00C93B3F">
            <w:pPr>
              <w:spacing w:line="256" w:lineRule="auto"/>
              <w:rPr>
                <w:rFonts w:eastAsia="Calibri"/>
                <w:color w:val="000000"/>
                <w:lang w:val="en-GB" w:eastAsia="en-US"/>
              </w:rPr>
            </w:pPr>
            <w:r>
              <w:rPr>
                <w:rFonts w:ascii="Calibri" w:hAnsi="Calibri" w:cs="Calibri"/>
                <w:color w:val="000000"/>
                <w:sz w:val="22"/>
                <w:szCs w:val="22"/>
              </w:rPr>
              <w:t>DE000SL0C0G8</w:t>
            </w:r>
          </w:p>
        </w:tc>
      </w:tr>
      <w:tr w:rsidR="00C93B3F" w14:paraId="467D2E7A" w14:textId="77777777" w:rsidTr="003816C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3829259" w14:textId="0CDC2936" w:rsidR="00C93B3F" w:rsidRPr="003A1DD5" w:rsidRDefault="00C93B3F" w:rsidP="00C93B3F">
            <w:pPr>
              <w:spacing w:line="256" w:lineRule="auto"/>
              <w:rPr>
                <w:rFonts w:eastAsia="Calibri"/>
                <w:color w:val="000000"/>
                <w:sz w:val="22"/>
                <w:szCs w:val="22"/>
                <w:lang w:val="en-US" w:eastAsia="en-US"/>
              </w:rPr>
            </w:pPr>
            <w:proofErr w:type="spellStart"/>
            <w:r w:rsidRPr="00C93B3F">
              <w:rPr>
                <w:rFonts w:ascii="Calibri" w:hAnsi="Calibri" w:cs="Calibri"/>
                <w:color w:val="000000"/>
                <w:sz w:val="22"/>
                <w:szCs w:val="22"/>
                <w:lang w:val="en-US"/>
              </w:rPr>
              <w:t>Solactive</w:t>
            </w:r>
            <w:proofErr w:type="spellEnd"/>
            <w:r w:rsidRPr="00C93B3F">
              <w:rPr>
                <w:rFonts w:ascii="Calibri" w:hAnsi="Calibri" w:cs="Calibri"/>
                <w:color w:val="000000"/>
                <w:sz w:val="22"/>
                <w:szCs w:val="22"/>
                <w:lang w:val="en-US"/>
              </w:rPr>
              <w:t xml:space="preserve"> Fischer Sports Betting and iGaming Index GTR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352E7C" w14:textId="7525A2D4" w:rsidR="00C93B3F" w:rsidRDefault="00C93B3F" w:rsidP="00C93B3F">
            <w:pPr>
              <w:spacing w:line="256" w:lineRule="auto"/>
              <w:rPr>
                <w:rFonts w:eastAsia="Calibri"/>
                <w:color w:val="000000"/>
                <w:lang w:val="en-GB" w:eastAsia="en-US"/>
              </w:rPr>
            </w:pPr>
            <w:r>
              <w:rPr>
                <w:rFonts w:ascii="Calibri" w:hAnsi="Calibri" w:cs="Calibri"/>
                <w:color w:val="000000"/>
                <w:sz w:val="22"/>
                <w:szCs w:val="22"/>
              </w:rPr>
              <w:t>.SOLIBETT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A450FD4" w14:textId="3FE49148" w:rsidR="00C93B3F" w:rsidRDefault="00C93B3F" w:rsidP="00C93B3F">
            <w:pPr>
              <w:spacing w:line="256" w:lineRule="auto"/>
              <w:rPr>
                <w:rFonts w:eastAsia="Calibri"/>
                <w:color w:val="000000"/>
                <w:lang w:val="en-GB" w:eastAsia="en-US"/>
              </w:rPr>
            </w:pPr>
            <w:r>
              <w:rPr>
                <w:rFonts w:ascii="Calibri" w:hAnsi="Calibri" w:cs="Calibri"/>
                <w:color w:val="000000"/>
                <w:sz w:val="22"/>
                <w:szCs w:val="22"/>
              </w:rPr>
              <w:t>DE000SL0C0H6</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358585B1" w14:textId="3AF6C51F" w:rsidR="005E6219" w:rsidRDefault="005E6219" w:rsidP="005E6219">
      <w:pPr>
        <w:rPr>
          <w:b/>
          <w:bCs/>
          <w:lang w:val="en-US"/>
        </w:rPr>
      </w:pPr>
      <w:r w:rsidRPr="005E6219">
        <w:rPr>
          <w:lang w:val="en-US"/>
        </w:rPr>
        <w:t>Since the implementation of SFDR in March 2021, European investors’ demand for products with standard ESG criteria or sustainability as part of the investment objective/strategy increased. Additionally to SFDR, local fund and derivatives associations (BVI</w:t>
      </w:r>
      <w:r>
        <w:rPr>
          <w:lang w:val="en-US"/>
        </w:rPr>
        <w:t xml:space="preserve"> </w:t>
      </w:r>
      <w:proofErr w:type="spellStart"/>
      <w:r w:rsidRPr="005E6219">
        <w:rPr>
          <w:lang w:val="en-US"/>
        </w:rPr>
        <w:t>Bundesverband</w:t>
      </w:r>
      <w:proofErr w:type="spellEnd"/>
      <w:r w:rsidRPr="005E6219">
        <w:rPr>
          <w:lang w:val="en-US"/>
        </w:rPr>
        <w:t xml:space="preserve"> Investment </w:t>
      </w:r>
      <w:proofErr w:type="spellStart"/>
      <w:r w:rsidRPr="005E6219">
        <w:rPr>
          <w:lang w:val="en-US"/>
        </w:rPr>
        <w:t>und</w:t>
      </w:r>
      <w:proofErr w:type="spellEnd"/>
      <w:r w:rsidRPr="005E6219">
        <w:rPr>
          <w:lang w:val="en-US"/>
        </w:rPr>
        <w:t xml:space="preserve"> Asset Management </w:t>
      </w:r>
      <w:proofErr w:type="spellStart"/>
      <w:r w:rsidRPr="005E6219">
        <w:rPr>
          <w:lang w:val="en-US"/>
        </w:rPr>
        <w:t>e.V.</w:t>
      </w:r>
      <w:proofErr w:type="spellEnd"/>
      <w:r w:rsidRPr="005E6219">
        <w:rPr>
          <w:lang w:val="en-US"/>
        </w:rPr>
        <w:t xml:space="preserve"> and Deutscher Derivate </w:t>
      </w:r>
      <w:proofErr w:type="spellStart"/>
      <w:r w:rsidRPr="005E6219">
        <w:rPr>
          <w:lang w:val="en-US"/>
        </w:rPr>
        <w:t>Verband</w:t>
      </w:r>
      <w:proofErr w:type="spellEnd"/>
      <w:r w:rsidRPr="005E6219">
        <w:rPr>
          <w:lang w:val="en-US"/>
        </w:rPr>
        <w:t xml:space="preserve"> </w:t>
      </w:r>
      <w:proofErr w:type="spellStart"/>
      <w:r w:rsidRPr="005E6219">
        <w:rPr>
          <w:lang w:val="en-US"/>
        </w:rPr>
        <w:t>e.V.</w:t>
      </w:r>
      <w:proofErr w:type="spellEnd"/>
      <w:r w:rsidRPr="005E6219">
        <w:rPr>
          <w:lang w:val="en-US"/>
        </w:rPr>
        <w:t xml:space="preserve">) published standards for ESG investments. These standards apply additional criteria above those required under SFDR. Many investors are now following these stricter standards for selection of funds and ETFs. In order to </w:t>
      </w:r>
      <w:r>
        <w:rPr>
          <w:lang w:val="en-US"/>
        </w:rPr>
        <w:t xml:space="preserve">react to those market movements and </w:t>
      </w:r>
      <w:r w:rsidRPr="005E6219">
        <w:rPr>
          <w:lang w:val="en-US"/>
        </w:rPr>
        <w:t xml:space="preserve">maintain the competitiveness of our indices and the products of our customers, </w:t>
      </w:r>
      <w:proofErr w:type="spellStart"/>
      <w:r>
        <w:rPr>
          <w:lang w:val="en-US"/>
        </w:rPr>
        <w:t>Solactive</w:t>
      </w:r>
      <w:proofErr w:type="spellEnd"/>
      <w:r>
        <w:rPr>
          <w:lang w:val="en-US"/>
        </w:rPr>
        <w:t xml:space="preserve"> wants to incorporate BVI compliant ESG criteria in the index selection process.</w:t>
      </w:r>
    </w:p>
    <w:p w14:paraId="27F514E6" w14:textId="45FDB283" w:rsidR="005E6219" w:rsidRPr="005E6219" w:rsidRDefault="005E6219" w:rsidP="005E6219">
      <w:pPr>
        <w:rPr>
          <w:lang w:val="en-US"/>
        </w:rPr>
      </w:pPr>
      <w:r>
        <w:rPr>
          <w:lang w:val="en-US"/>
        </w:rPr>
        <w:t>Additionally, a fallback option should be included in case the weighting constraints cannot be fulfilled.</w:t>
      </w:r>
    </w:p>
    <w:p w14:paraId="2BF4DE5A" w14:textId="77777777" w:rsidR="007E47D4" w:rsidRDefault="007E47D4" w:rsidP="00F568D6">
      <w:pPr>
        <w:spacing w:before="0" w:after="160" w:line="259" w:lineRule="auto"/>
        <w:jc w:val="left"/>
        <w:rPr>
          <w:u w:val="single"/>
          <w:lang w:val="en-GB"/>
        </w:rPr>
      </w:pPr>
    </w:p>
    <w:p w14:paraId="2A079CAD" w14:textId="4375024E"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3328E0" w:rsidRPr="0010358C">
        <w:rPr>
          <w:sz w:val="28"/>
          <w:szCs w:val="28"/>
          <w:u w:val="single"/>
          <w:lang w:val="en-GB"/>
        </w:rPr>
        <w:t>[</w:t>
      </w:r>
      <w:r w:rsidR="00F568D6" w:rsidRPr="0010358C">
        <w:rPr>
          <w:sz w:val="28"/>
          <w:szCs w:val="28"/>
          <w:u w:val="single"/>
          <w:lang w:val="en-GB"/>
        </w:rPr>
        <w:t>s</w:t>
      </w:r>
      <w:r w:rsidR="003328E0" w:rsidRPr="0010358C">
        <w:rPr>
          <w:sz w:val="28"/>
          <w:szCs w:val="28"/>
          <w:u w:val="single"/>
          <w:lang w:val="en-GB"/>
        </w:rPr>
        <w:t>]</w:t>
      </w:r>
      <w:r w:rsidR="00F568D6" w:rsidRPr="0010358C">
        <w:rPr>
          <w:sz w:val="28"/>
          <w:szCs w:val="28"/>
          <w:u w:val="single"/>
          <w:lang w:val="en-GB"/>
        </w:rPr>
        <w:t xml:space="preserve"> to the Index Guideline</w:t>
      </w:r>
    </w:p>
    <w:p w14:paraId="7D66871B" w14:textId="64EFB75A"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 </w:t>
      </w:r>
      <w:r>
        <w:rPr>
          <w:lang w:val="en-GB"/>
        </w:rPr>
        <w:t>(ordered in accordance with the numbering of the affected sections):</w:t>
      </w:r>
    </w:p>
    <w:p w14:paraId="5B59E9E2" w14:textId="7B36E02C" w:rsidR="00C93B3F" w:rsidRDefault="00C93B3F" w:rsidP="00C93B3F">
      <w:pPr>
        <w:pStyle w:val="ListParagraph"/>
        <w:numPr>
          <w:ilvl w:val="0"/>
          <w:numId w:val="22"/>
        </w:numPr>
        <w:spacing w:before="0" w:after="160" w:line="259" w:lineRule="auto"/>
        <w:jc w:val="left"/>
        <w:rPr>
          <w:lang w:val="en-GB"/>
        </w:rPr>
      </w:pPr>
      <w:r>
        <w:rPr>
          <w:lang w:val="en-GB"/>
        </w:rPr>
        <w:t>Section</w:t>
      </w:r>
      <w:r w:rsidR="00902853">
        <w:rPr>
          <w:lang w:val="en-GB"/>
        </w:rPr>
        <w:t>:</w:t>
      </w:r>
      <w:r>
        <w:rPr>
          <w:lang w:val="en-GB"/>
        </w:rPr>
        <w:t xml:space="preserve"> 2.2</w:t>
      </w:r>
      <w:r w:rsidR="00D035CD">
        <w:rPr>
          <w:lang w:val="en-GB"/>
        </w:rPr>
        <w:t xml:space="preserve"> Selection of the Index Components</w:t>
      </w:r>
    </w:p>
    <w:p w14:paraId="6ED64714" w14:textId="5D7590FF" w:rsidR="00C93B3F" w:rsidRPr="00D035CD" w:rsidRDefault="00D035CD" w:rsidP="00C93B3F">
      <w:pPr>
        <w:pStyle w:val="ListParagraph"/>
        <w:spacing w:before="0" w:after="160" w:line="259" w:lineRule="auto"/>
        <w:ind w:left="360"/>
        <w:jc w:val="left"/>
        <w:rPr>
          <w:u w:val="single"/>
          <w:lang w:val="en-GB"/>
        </w:rPr>
      </w:pPr>
      <w:r w:rsidRPr="00D035CD">
        <w:rPr>
          <w:u w:val="single"/>
          <w:lang w:val="en-GB"/>
        </w:rPr>
        <w:t>A</w:t>
      </w:r>
      <w:r w:rsidR="00C93B3F" w:rsidRPr="00D035CD">
        <w:rPr>
          <w:u w:val="single"/>
          <w:lang w:val="en-GB"/>
        </w:rPr>
        <w:t>dding</w:t>
      </w:r>
      <w:r w:rsidRPr="00D035CD">
        <w:rPr>
          <w:u w:val="single"/>
          <w:lang w:val="en-GB"/>
        </w:rPr>
        <w:t>:</w:t>
      </w:r>
    </w:p>
    <w:p w14:paraId="39B162E8" w14:textId="22CE38EA" w:rsidR="00C93B3F" w:rsidRDefault="00C93B3F" w:rsidP="00C93B3F">
      <w:pPr>
        <w:pStyle w:val="ListParagraph"/>
        <w:spacing w:before="0" w:after="160" w:line="259" w:lineRule="auto"/>
        <w:ind w:left="360"/>
        <w:jc w:val="left"/>
        <w:rPr>
          <w:lang w:val="en-GB"/>
        </w:rPr>
      </w:pPr>
      <w:r>
        <w:rPr>
          <w:lang w:val="en-GB"/>
        </w:rPr>
        <w:t>“(…)</w:t>
      </w:r>
    </w:p>
    <w:p w14:paraId="5FE01772" w14:textId="493B3A63" w:rsidR="00C93B3F" w:rsidRPr="00C93B3F" w:rsidRDefault="00C93B3F" w:rsidP="00D035CD">
      <w:pPr>
        <w:pStyle w:val="ListParagraph"/>
        <w:numPr>
          <w:ilvl w:val="0"/>
          <w:numId w:val="25"/>
        </w:numPr>
        <w:rPr>
          <w:lang w:val="en-US"/>
        </w:rPr>
      </w:pPr>
      <w:bookmarkStart w:id="2" w:name="_Hlk83372035"/>
      <w:r w:rsidRPr="00C93B3F">
        <w:rPr>
          <w:lang w:val="en-US"/>
        </w:rPr>
        <w:t xml:space="preserve">The companies selected after completion of the above steps will be evaluated on the criteria outlined below. The evaluation is based on data provided by the </w:t>
      </w:r>
      <w:r w:rsidRPr="00C93B3F">
        <w:rPr>
          <w:smallCaps/>
          <w:lang w:val="en-US"/>
        </w:rPr>
        <w:t>Data Provider</w:t>
      </w:r>
      <w:r w:rsidRPr="00C93B3F">
        <w:rPr>
          <w:lang w:val="en-US"/>
        </w:rPr>
        <w:t>.</w:t>
      </w:r>
    </w:p>
    <w:p w14:paraId="32F05126" w14:textId="77777777" w:rsidR="00C93B3F" w:rsidRDefault="00C93B3F" w:rsidP="00C93B3F">
      <w:pPr>
        <w:pStyle w:val="ListParagraph"/>
        <w:numPr>
          <w:ilvl w:val="1"/>
          <w:numId w:val="23"/>
        </w:numPr>
        <w:spacing w:before="0" w:after="160" w:line="259" w:lineRule="auto"/>
        <w:contextualSpacing/>
        <w:jc w:val="left"/>
        <w:rPr>
          <w:lang w:val="en-US"/>
        </w:rPr>
      </w:pPr>
      <w:r>
        <w:rPr>
          <w:lang w:val="en-US"/>
        </w:rPr>
        <w:t>UN Global Compact</w:t>
      </w:r>
    </w:p>
    <w:p w14:paraId="4865E563" w14:textId="77777777" w:rsidR="00C93B3F" w:rsidRPr="000D0226" w:rsidRDefault="00C93B3F" w:rsidP="00C93B3F">
      <w:pPr>
        <w:pStyle w:val="ListParagraph"/>
        <w:numPr>
          <w:ilvl w:val="2"/>
          <w:numId w:val="23"/>
        </w:numPr>
        <w:spacing w:before="0" w:after="160" w:line="259" w:lineRule="auto"/>
        <w:contextualSpacing/>
        <w:jc w:val="left"/>
        <w:rPr>
          <w:lang w:val="en-US"/>
        </w:rPr>
      </w:pPr>
      <w:r>
        <w:rPr>
          <w:lang w:val="en-US"/>
        </w:rPr>
        <w:t>Companies not in compliance with UN Global Compact principles</w:t>
      </w:r>
    </w:p>
    <w:p w14:paraId="081DE4DB" w14:textId="77777777" w:rsidR="00C93B3F" w:rsidRDefault="00C93B3F" w:rsidP="00C93B3F">
      <w:pPr>
        <w:pStyle w:val="ListParagraph"/>
        <w:numPr>
          <w:ilvl w:val="1"/>
          <w:numId w:val="23"/>
        </w:numPr>
        <w:spacing w:before="0" w:after="160" w:line="259" w:lineRule="auto"/>
        <w:contextualSpacing/>
        <w:jc w:val="left"/>
        <w:rPr>
          <w:lang w:val="en-US"/>
        </w:rPr>
      </w:pPr>
      <w:r>
        <w:rPr>
          <w:lang w:val="en-US"/>
        </w:rPr>
        <w:t>Controversial Weapons</w:t>
      </w:r>
    </w:p>
    <w:p w14:paraId="7DE14985" w14:textId="77777777" w:rsidR="00C93B3F" w:rsidRPr="000D0226" w:rsidRDefault="00C93B3F" w:rsidP="00C93B3F">
      <w:pPr>
        <w:pStyle w:val="ListParagraph"/>
        <w:numPr>
          <w:ilvl w:val="2"/>
          <w:numId w:val="23"/>
        </w:numPr>
        <w:spacing w:before="0" w:after="160" w:line="259" w:lineRule="auto"/>
        <w:contextualSpacing/>
        <w:jc w:val="left"/>
        <w:rPr>
          <w:lang w:val="en-US"/>
        </w:rPr>
      </w:pPr>
      <w:r w:rsidRPr="000D0226">
        <w:rPr>
          <w:lang w:val="en-US"/>
        </w:rPr>
        <w:lastRenderedPageBreak/>
        <w:t xml:space="preserve">Companies involved in the production development or maintenance of Anti-personnel Mines, Biological or </w:t>
      </w:r>
      <w:r>
        <w:rPr>
          <w:lang w:val="en-US"/>
        </w:rPr>
        <w:t>C</w:t>
      </w:r>
      <w:r w:rsidRPr="000D0226">
        <w:rPr>
          <w:lang w:val="en-US"/>
        </w:rPr>
        <w:t xml:space="preserve">hemical weapons, Cluster munitions, Depleted uranium, Nuclear Weapons, or any other weapon that violate humanitarian principles through normal use. </w:t>
      </w:r>
    </w:p>
    <w:p w14:paraId="46CE7AB6" w14:textId="77777777" w:rsidR="00C93B3F" w:rsidRPr="000D0226" w:rsidRDefault="00C93B3F" w:rsidP="00C93B3F">
      <w:pPr>
        <w:pStyle w:val="ListParagraph"/>
        <w:numPr>
          <w:ilvl w:val="2"/>
          <w:numId w:val="23"/>
        </w:numPr>
        <w:spacing w:before="0" w:after="160" w:line="259" w:lineRule="auto"/>
        <w:contextualSpacing/>
        <w:jc w:val="left"/>
        <w:rPr>
          <w:lang w:val="en-US"/>
        </w:rPr>
      </w:pPr>
      <w:r w:rsidRPr="000D0226">
        <w:rPr>
          <w:lang w:val="en-US"/>
        </w:rPr>
        <w:t xml:space="preserve">Companies that produce or develop key and dedicated components for controversial weapons. </w:t>
      </w:r>
    </w:p>
    <w:p w14:paraId="7A467AA5" w14:textId="77777777" w:rsidR="00C93B3F" w:rsidRPr="000D0226" w:rsidRDefault="00C93B3F" w:rsidP="00C93B3F">
      <w:pPr>
        <w:pStyle w:val="ListParagraph"/>
        <w:numPr>
          <w:ilvl w:val="2"/>
          <w:numId w:val="23"/>
        </w:numPr>
        <w:spacing w:before="0" w:after="160" w:line="259" w:lineRule="auto"/>
        <w:contextualSpacing/>
        <w:jc w:val="left"/>
        <w:rPr>
          <w:lang w:val="en-US"/>
        </w:rPr>
      </w:pPr>
      <w:r w:rsidRPr="000D0226">
        <w:rPr>
          <w:lang w:val="en-US"/>
        </w:rPr>
        <w:t xml:space="preserve">Companies involved in the production and/or services tailor made for the defense industry or the military. </w:t>
      </w:r>
    </w:p>
    <w:p w14:paraId="7CDC06AC" w14:textId="77777777" w:rsidR="00C93B3F" w:rsidRPr="000D0226" w:rsidRDefault="00C93B3F" w:rsidP="00C93B3F">
      <w:pPr>
        <w:pStyle w:val="ListParagraph"/>
        <w:numPr>
          <w:ilvl w:val="2"/>
          <w:numId w:val="23"/>
        </w:numPr>
        <w:spacing w:before="0" w:after="160" w:line="259" w:lineRule="auto"/>
        <w:contextualSpacing/>
        <w:jc w:val="left"/>
        <w:rPr>
          <w:lang w:val="en-US"/>
        </w:rPr>
      </w:pPr>
      <w:r w:rsidRPr="000D0226">
        <w:rPr>
          <w:lang w:val="en-US"/>
        </w:rPr>
        <w:t xml:space="preserve">Companies that hold ≥20% stake in a company that is involved in controversial weapons. </w:t>
      </w:r>
    </w:p>
    <w:p w14:paraId="1FF8E2B5" w14:textId="77777777" w:rsidR="00C93B3F" w:rsidRPr="000D0226" w:rsidRDefault="00C93B3F" w:rsidP="00C93B3F">
      <w:pPr>
        <w:pStyle w:val="ListParagraph"/>
        <w:numPr>
          <w:ilvl w:val="2"/>
          <w:numId w:val="23"/>
        </w:numPr>
        <w:spacing w:before="0" w:after="160" w:line="259" w:lineRule="auto"/>
        <w:contextualSpacing/>
        <w:jc w:val="left"/>
        <w:rPr>
          <w:lang w:val="en-US"/>
        </w:rPr>
      </w:pPr>
      <w:r w:rsidRPr="000D0226">
        <w:rPr>
          <w:lang w:val="en-US"/>
        </w:rPr>
        <w:t>Companies currently ≥ 50% owned by a company that is involved in controversial weapons.</w:t>
      </w:r>
    </w:p>
    <w:p w14:paraId="2A1DF4B9" w14:textId="77777777" w:rsidR="00C93B3F" w:rsidRDefault="00C93B3F" w:rsidP="00C93B3F">
      <w:pPr>
        <w:pStyle w:val="ListParagraph"/>
        <w:numPr>
          <w:ilvl w:val="1"/>
          <w:numId w:val="23"/>
        </w:numPr>
        <w:spacing w:before="0" w:after="160" w:line="259" w:lineRule="auto"/>
        <w:contextualSpacing/>
        <w:jc w:val="left"/>
        <w:rPr>
          <w:lang w:val="en-US"/>
        </w:rPr>
      </w:pPr>
      <w:r>
        <w:rPr>
          <w:lang w:val="en-US"/>
        </w:rPr>
        <w:t>Conventional Weapons</w:t>
      </w:r>
    </w:p>
    <w:p w14:paraId="5A42352C" w14:textId="77777777" w:rsidR="00C93B3F" w:rsidRDefault="00C93B3F" w:rsidP="00C93B3F">
      <w:pPr>
        <w:pStyle w:val="ListParagraph"/>
        <w:numPr>
          <w:ilvl w:val="2"/>
          <w:numId w:val="23"/>
        </w:numPr>
        <w:spacing w:before="0" w:after="160" w:line="259" w:lineRule="auto"/>
        <w:contextualSpacing/>
        <w:jc w:val="left"/>
        <w:rPr>
          <w:lang w:val="en-US"/>
        </w:rPr>
      </w:pPr>
      <w:r>
        <w:rPr>
          <w:lang w:val="en-US"/>
        </w:rPr>
        <w:t>&gt;10% revenue from the production or distribution of arms, both public and private</w:t>
      </w:r>
    </w:p>
    <w:p w14:paraId="38FEBC44" w14:textId="77777777" w:rsidR="00C93B3F" w:rsidRDefault="00C93B3F" w:rsidP="00C93B3F">
      <w:pPr>
        <w:pStyle w:val="ListParagraph"/>
        <w:numPr>
          <w:ilvl w:val="1"/>
          <w:numId w:val="23"/>
        </w:numPr>
        <w:spacing w:before="0" w:after="160" w:line="259" w:lineRule="auto"/>
        <w:contextualSpacing/>
        <w:jc w:val="left"/>
        <w:rPr>
          <w:lang w:val="en-US"/>
        </w:rPr>
      </w:pPr>
      <w:r>
        <w:rPr>
          <w:lang w:val="en-US"/>
        </w:rPr>
        <w:t>Tobacco</w:t>
      </w:r>
    </w:p>
    <w:p w14:paraId="1F894A08" w14:textId="77777777" w:rsidR="00C93B3F" w:rsidRPr="000D0226" w:rsidRDefault="00C93B3F" w:rsidP="00C93B3F">
      <w:pPr>
        <w:pStyle w:val="ListParagraph"/>
        <w:numPr>
          <w:ilvl w:val="2"/>
          <w:numId w:val="23"/>
        </w:numPr>
        <w:spacing w:before="0" w:after="160" w:line="259" w:lineRule="auto"/>
        <w:contextualSpacing/>
        <w:jc w:val="left"/>
        <w:rPr>
          <w:lang w:val="en-US"/>
        </w:rPr>
      </w:pPr>
      <w:r w:rsidRPr="000D0226">
        <w:rPr>
          <w:lang w:val="en-US"/>
        </w:rPr>
        <w:t xml:space="preserve">&gt;5% revenues from tobacco manufacturing. </w:t>
      </w:r>
    </w:p>
    <w:p w14:paraId="70E9D9C3" w14:textId="77777777" w:rsidR="00C93B3F" w:rsidRPr="000D0226" w:rsidRDefault="00C93B3F" w:rsidP="00C93B3F">
      <w:pPr>
        <w:pStyle w:val="ListParagraph"/>
        <w:numPr>
          <w:ilvl w:val="2"/>
          <w:numId w:val="23"/>
        </w:numPr>
        <w:spacing w:before="0" w:after="160" w:line="259" w:lineRule="auto"/>
        <w:contextualSpacing/>
        <w:jc w:val="left"/>
        <w:rPr>
          <w:lang w:val="en-US"/>
        </w:rPr>
      </w:pPr>
      <w:r w:rsidRPr="000D0226">
        <w:rPr>
          <w:lang w:val="en-US"/>
        </w:rPr>
        <w:t xml:space="preserve">&gt;5% revenue from tobacco distribution and/or sale of tobacco products. </w:t>
      </w:r>
    </w:p>
    <w:p w14:paraId="56540B45" w14:textId="77777777" w:rsidR="00C93B3F" w:rsidRDefault="00C93B3F" w:rsidP="00C93B3F">
      <w:pPr>
        <w:pStyle w:val="ListParagraph"/>
        <w:numPr>
          <w:ilvl w:val="1"/>
          <w:numId w:val="23"/>
        </w:numPr>
        <w:spacing w:before="0" w:after="160" w:line="259" w:lineRule="auto"/>
        <w:contextualSpacing/>
        <w:jc w:val="left"/>
        <w:rPr>
          <w:lang w:val="en-US"/>
        </w:rPr>
      </w:pPr>
      <w:r>
        <w:rPr>
          <w:lang w:val="en-US"/>
        </w:rPr>
        <w:t>Thermal Coal</w:t>
      </w:r>
    </w:p>
    <w:p w14:paraId="7141329A" w14:textId="77777777" w:rsidR="00C93B3F" w:rsidRPr="000D0226" w:rsidRDefault="00C93B3F" w:rsidP="00C93B3F">
      <w:pPr>
        <w:pStyle w:val="ListParagraph"/>
        <w:numPr>
          <w:ilvl w:val="2"/>
          <w:numId w:val="23"/>
        </w:numPr>
        <w:spacing w:before="0" w:after="160" w:line="259" w:lineRule="auto"/>
        <w:contextualSpacing/>
        <w:jc w:val="left"/>
        <w:rPr>
          <w:lang w:val="en-US"/>
        </w:rPr>
      </w:pPr>
      <w:r w:rsidRPr="000D0226">
        <w:rPr>
          <w:lang w:val="en-US"/>
        </w:rPr>
        <w:t>&gt;</w:t>
      </w:r>
      <w:r>
        <w:rPr>
          <w:lang w:val="en-US"/>
        </w:rPr>
        <w:t>1</w:t>
      </w:r>
      <w:r w:rsidRPr="000D0226">
        <w:rPr>
          <w:lang w:val="en-US"/>
        </w:rPr>
        <w:t xml:space="preserve">0% revenues from the exploration mining or refining of thermal coal. </w:t>
      </w:r>
    </w:p>
    <w:p w14:paraId="6D3F244C" w14:textId="77777777" w:rsidR="00C93B3F" w:rsidRPr="000D0226" w:rsidRDefault="00C93B3F" w:rsidP="00C93B3F">
      <w:pPr>
        <w:pStyle w:val="ListParagraph"/>
        <w:numPr>
          <w:ilvl w:val="2"/>
          <w:numId w:val="23"/>
        </w:numPr>
        <w:spacing w:before="0" w:after="160" w:line="259" w:lineRule="auto"/>
        <w:contextualSpacing/>
        <w:jc w:val="left"/>
        <w:rPr>
          <w:lang w:val="en-US"/>
        </w:rPr>
      </w:pPr>
      <w:r w:rsidRPr="000D0226">
        <w:rPr>
          <w:lang w:val="en-US"/>
        </w:rPr>
        <w:t xml:space="preserve">Companies that base 30% or more of their operations on thermal coal. </w:t>
      </w:r>
    </w:p>
    <w:p w14:paraId="2A60563F" w14:textId="77777777" w:rsidR="00C93B3F" w:rsidRDefault="00C93B3F" w:rsidP="00C93B3F">
      <w:pPr>
        <w:pStyle w:val="ListParagraph"/>
        <w:numPr>
          <w:ilvl w:val="2"/>
          <w:numId w:val="23"/>
        </w:numPr>
        <w:spacing w:before="0" w:after="160" w:line="259" w:lineRule="auto"/>
        <w:contextualSpacing/>
        <w:jc w:val="left"/>
        <w:rPr>
          <w:lang w:val="en-US"/>
        </w:rPr>
      </w:pPr>
      <w:r w:rsidRPr="000D0226">
        <w:rPr>
          <w:lang w:val="en-US"/>
        </w:rPr>
        <w:t>Companies that produce &gt;20 million tons of thermal coal annually and are actively expanding.</w:t>
      </w:r>
    </w:p>
    <w:p w14:paraId="4CD9723F" w14:textId="0F97029D" w:rsidR="00C93B3F" w:rsidRDefault="00C93B3F" w:rsidP="00C93B3F">
      <w:pPr>
        <w:ind w:left="720"/>
        <w:rPr>
          <w:lang w:val="en-US"/>
        </w:rPr>
      </w:pPr>
      <w:r w:rsidRPr="003F5290">
        <w:rPr>
          <w:lang w:val="en-US"/>
        </w:rPr>
        <w:t>All companies violating any of the exclusion criteria above are excluded. All companies for which an evaluation of these exclusion criteria is not possible due to insufficient and/or missing information or data are excluded.</w:t>
      </w:r>
      <w:bookmarkEnd w:id="2"/>
      <w:r w:rsidR="00D035CD">
        <w:rPr>
          <w:lang w:val="en-US"/>
        </w:rPr>
        <w:t>”</w:t>
      </w:r>
    </w:p>
    <w:p w14:paraId="2C6AA52A" w14:textId="77777777" w:rsidR="00D035CD" w:rsidRPr="003F5290" w:rsidRDefault="00D035CD" w:rsidP="00D035CD">
      <w:pPr>
        <w:ind w:left="708"/>
        <w:rPr>
          <w:iCs/>
          <w:lang w:val="en-US" w:eastAsia="en-US"/>
        </w:rPr>
      </w:pPr>
    </w:p>
    <w:p w14:paraId="0FE2AA1C" w14:textId="648583FE" w:rsidR="00C93B3F" w:rsidRDefault="00D035CD" w:rsidP="00D035CD">
      <w:pPr>
        <w:pStyle w:val="ListParagraph"/>
        <w:numPr>
          <w:ilvl w:val="0"/>
          <w:numId w:val="22"/>
        </w:numPr>
        <w:spacing w:before="0" w:after="160" w:line="259" w:lineRule="auto"/>
        <w:jc w:val="left"/>
        <w:rPr>
          <w:lang w:val="en-US"/>
        </w:rPr>
      </w:pPr>
      <w:r>
        <w:rPr>
          <w:lang w:val="en-US"/>
        </w:rPr>
        <w:t>Section</w:t>
      </w:r>
      <w:r w:rsidR="00902853">
        <w:rPr>
          <w:lang w:val="en-US"/>
        </w:rPr>
        <w:t>:</w:t>
      </w:r>
      <w:r>
        <w:rPr>
          <w:lang w:val="en-US"/>
        </w:rPr>
        <w:t xml:space="preserve"> 2.3 Weighting of the Index Components</w:t>
      </w:r>
    </w:p>
    <w:p w14:paraId="6EF2081D" w14:textId="1DC88A28" w:rsidR="00D035CD" w:rsidRPr="00902853" w:rsidRDefault="00902853" w:rsidP="00D035CD">
      <w:pPr>
        <w:spacing w:before="0" w:after="160" w:line="259" w:lineRule="auto"/>
        <w:ind w:left="360"/>
        <w:jc w:val="left"/>
        <w:rPr>
          <w:u w:val="single"/>
          <w:lang w:val="en-US"/>
        </w:rPr>
      </w:pPr>
      <w:r w:rsidRPr="00902853">
        <w:rPr>
          <w:u w:val="single"/>
          <w:lang w:val="en-US"/>
        </w:rPr>
        <w:t>Adding:</w:t>
      </w:r>
    </w:p>
    <w:p w14:paraId="3E1BF58C" w14:textId="0226A423" w:rsidR="00902853" w:rsidRPr="00902853" w:rsidRDefault="00902853" w:rsidP="00902853">
      <w:pPr>
        <w:spacing w:before="0" w:after="160" w:line="259" w:lineRule="auto"/>
        <w:ind w:left="360"/>
        <w:jc w:val="left"/>
        <w:rPr>
          <w:lang w:val="en-US"/>
        </w:rPr>
      </w:pPr>
      <w:r>
        <w:rPr>
          <w:lang w:val="en-US"/>
        </w:rPr>
        <w:t xml:space="preserve">“(…) </w:t>
      </w:r>
      <w:r w:rsidRPr="00902853">
        <w:rPr>
          <w:lang w:val="en-US" w:eastAsia="en-US"/>
        </w:rPr>
        <w:t xml:space="preserve">If each </w:t>
      </w:r>
      <w:r w:rsidRPr="00902853">
        <w:rPr>
          <w:smallCaps/>
          <w:lang w:val="en-US" w:eastAsia="en-US"/>
        </w:rPr>
        <w:t>Index Component</w:t>
      </w:r>
      <w:r w:rsidRPr="00902853">
        <w:rPr>
          <w:lang w:val="en-US" w:eastAsia="en-US"/>
        </w:rPr>
        <w:t xml:space="preserve"> reaches its maximum weight before the excess weight was fully redistributed, the weight constraints in 2.3.1 and 2.3.2 will be eased in 1% steps until the excess weight is fully redistributed.</w:t>
      </w:r>
      <w:r w:rsidRPr="00902853">
        <w:rPr>
          <w:lang w:val="en-US"/>
        </w:rPr>
        <w:t>”</w:t>
      </w:r>
    </w:p>
    <w:p w14:paraId="44AB376C" w14:textId="32C8F09F" w:rsidR="00902853" w:rsidRDefault="00902853" w:rsidP="00902853">
      <w:pPr>
        <w:pStyle w:val="ListParagraph"/>
        <w:numPr>
          <w:ilvl w:val="0"/>
          <w:numId w:val="22"/>
        </w:numPr>
        <w:spacing w:before="0" w:after="160" w:line="259" w:lineRule="auto"/>
        <w:jc w:val="left"/>
        <w:rPr>
          <w:lang w:val="en-US"/>
        </w:rPr>
      </w:pPr>
      <w:r w:rsidRPr="00902853">
        <w:rPr>
          <w:lang w:val="en-US"/>
        </w:rPr>
        <w:t>Section</w:t>
      </w:r>
      <w:r>
        <w:rPr>
          <w:lang w:val="en-US"/>
        </w:rPr>
        <w:t>: 6 Definitions</w:t>
      </w:r>
    </w:p>
    <w:p w14:paraId="61C3D01D" w14:textId="35076DB1" w:rsidR="00902853" w:rsidRPr="00902853" w:rsidRDefault="00902853" w:rsidP="00902853">
      <w:pPr>
        <w:pStyle w:val="ListParagraph"/>
        <w:spacing w:before="0" w:after="160" w:line="259" w:lineRule="auto"/>
        <w:ind w:left="360"/>
        <w:jc w:val="left"/>
        <w:rPr>
          <w:u w:val="single"/>
          <w:lang w:val="en-US"/>
        </w:rPr>
      </w:pPr>
      <w:r w:rsidRPr="00902853">
        <w:rPr>
          <w:u w:val="single"/>
          <w:lang w:val="en-US"/>
        </w:rPr>
        <w:t>Adding:</w:t>
      </w:r>
    </w:p>
    <w:p w14:paraId="7907EAC0" w14:textId="711B0C00" w:rsidR="00902853" w:rsidRPr="00902853" w:rsidRDefault="00902853" w:rsidP="00902853">
      <w:pPr>
        <w:ind w:firstLine="360"/>
        <w:rPr>
          <w:lang w:val="en-US"/>
        </w:rPr>
      </w:pPr>
      <w:r>
        <w:rPr>
          <w:lang w:val="en-US"/>
        </w:rPr>
        <w:t>“</w:t>
      </w:r>
      <w:r w:rsidRPr="00A327AE">
        <w:rPr>
          <w:rFonts w:ascii="Flama Semicondensed Medium" w:hAnsi="Flama Semicondensed Medium"/>
          <w:lang w:val="en-US"/>
        </w:rPr>
        <w:t>“</w:t>
      </w:r>
      <w:r>
        <w:rPr>
          <w:rFonts w:ascii="Flama Semicondensed Medium" w:hAnsi="Flama Semicondensed Medium"/>
          <w:smallCaps/>
          <w:lang w:val="en-US"/>
        </w:rPr>
        <w:t>Data Provider</w:t>
      </w:r>
      <w:r w:rsidRPr="00A327AE">
        <w:rPr>
          <w:rFonts w:ascii="Flama Semicondensed Medium" w:hAnsi="Flama Semicondensed Medium"/>
          <w:lang w:val="en-US"/>
        </w:rPr>
        <w:t>”</w:t>
      </w:r>
      <w:r w:rsidRPr="00B76E0B">
        <w:rPr>
          <w:lang w:val="en-US"/>
        </w:rPr>
        <w:t xml:space="preserve"> </w:t>
      </w:r>
      <w:r>
        <w:rPr>
          <w:lang w:val="en-US"/>
        </w:rPr>
        <w:t xml:space="preserve">is </w:t>
      </w:r>
      <w:r w:rsidRPr="003B5B8F">
        <w:rPr>
          <w:lang w:val="en-US"/>
        </w:rPr>
        <w:t>Minerva Analytics Ltd</w:t>
      </w:r>
      <w:r>
        <w:rPr>
          <w:lang w:val="en-US"/>
        </w:rPr>
        <w:t xml:space="preserve">. For more information, </w:t>
      </w:r>
      <w:r w:rsidRPr="00C554CC">
        <w:rPr>
          <w:lang w:val="en-US"/>
        </w:rPr>
        <w:t xml:space="preserve">please visit: </w:t>
      </w:r>
      <w:hyperlink r:id="rId11" w:history="1">
        <w:r w:rsidRPr="00C554CC">
          <w:rPr>
            <w:rStyle w:val="Hyperlink"/>
            <w:lang w:val="en-GB" w:eastAsia="en-US"/>
          </w:rPr>
          <w:t>www.minerva.info</w:t>
        </w:r>
      </w:hyperlink>
      <w:r w:rsidRPr="00C554CC">
        <w:rPr>
          <w:lang w:val="en-US"/>
        </w:rPr>
        <w:t>.</w:t>
      </w:r>
      <w:r>
        <w:rPr>
          <w:lang w:val="en-US"/>
        </w:rPr>
        <w:t>”</w:t>
      </w:r>
    </w:p>
    <w:p w14:paraId="5F6AC90C" w14:textId="77777777" w:rsidR="00902853" w:rsidRDefault="00902853" w:rsidP="002663E0">
      <w:pPr>
        <w:spacing w:before="0" w:after="160" w:line="259" w:lineRule="auto"/>
        <w:jc w:val="left"/>
        <w:rPr>
          <w:i/>
          <w:lang w:val="en-GB"/>
        </w:rPr>
      </w:pPr>
    </w:p>
    <w:p w14:paraId="45154AF2" w14:textId="16694438"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lastRenderedPageBreak/>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3AF1ACF"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902853" w:rsidRPr="00902853">
        <w:rPr>
          <w:lang w:val="en-US"/>
        </w:rPr>
        <w:t>Solactive</w:t>
      </w:r>
      <w:proofErr w:type="spellEnd"/>
      <w:r w:rsidR="00902853" w:rsidRPr="00902853">
        <w:rPr>
          <w:lang w:val="en-US"/>
        </w:rPr>
        <w:t xml:space="preserve"> Fischer Sports Betting and iGaming Index</w:t>
      </w:r>
      <w:r w:rsidR="00C04273" w:rsidRPr="00C04273">
        <w:rPr>
          <w:lang w:val="en-US"/>
        </w:rPr>
        <w:t xml:space="preserve">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93B3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8B458BD" w:rsidR="005055F5" w:rsidRPr="00C04273"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902853" w:rsidRPr="00902853">
        <w:rPr>
          <w:iCs/>
          <w:lang w:val="en-US"/>
        </w:rPr>
        <w:t>2021-10-21</w:t>
      </w:r>
      <w:r w:rsidRPr="00902853">
        <w:rPr>
          <w:lang w:val="en-US"/>
        </w:rPr>
        <w:t>.</w:t>
      </w:r>
    </w:p>
    <w:p w14:paraId="04131284" w14:textId="1DA1237B"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“Market Consultation</w:t>
      </w:r>
      <w:r w:rsidR="00902853" w:rsidRPr="00902853">
        <w:rPr>
          <w:lang w:val="en-US"/>
        </w:rPr>
        <w:t xml:space="preserve"> </w:t>
      </w:r>
      <w:proofErr w:type="spellStart"/>
      <w:r w:rsidR="00902853" w:rsidRPr="00902853">
        <w:rPr>
          <w:lang w:val="en-US"/>
        </w:rPr>
        <w:t>Solactive</w:t>
      </w:r>
      <w:proofErr w:type="spellEnd"/>
      <w:r w:rsidR="00902853" w:rsidRPr="00902853">
        <w:rPr>
          <w:lang w:val="en-US"/>
        </w:rPr>
        <w:t xml:space="preserve"> Fischer Sports Betting and iGaming Index </w:t>
      </w:r>
      <w:r w:rsidR="00902853">
        <w:rPr>
          <w:lang w:val="en-US"/>
        </w:rPr>
        <w:t>Change of Methodology”</w:t>
      </w:r>
      <w:r w:rsidRPr="00C04273">
        <w:rPr>
          <w:lang w:val="en-US"/>
        </w:rPr>
        <w:t xml:space="preserve"> as the subject of the email, or </w:t>
      </w:r>
    </w:p>
    <w:p w14:paraId="6AB9F564" w14:textId="77777777" w:rsidR="005055F5" w:rsidRPr="00C93B3F" w:rsidRDefault="005055F5" w:rsidP="005055F5">
      <w:pPr>
        <w:spacing w:after="0"/>
        <w:rPr>
          <w:lang w:val="it-IT"/>
        </w:rPr>
      </w:pPr>
      <w:r w:rsidRPr="00C93B3F">
        <w:rPr>
          <w:lang w:val="it-IT"/>
        </w:rPr>
        <w:t xml:space="preserve">via </w:t>
      </w:r>
      <w:proofErr w:type="spellStart"/>
      <w:r w:rsidRPr="00C93B3F">
        <w:rPr>
          <w:lang w:val="it-IT"/>
        </w:rPr>
        <w:t>postal</w:t>
      </w:r>
      <w:proofErr w:type="spellEnd"/>
      <w:r w:rsidRPr="00C93B3F">
        <w:rPr>
          <w:lang w:val="it-IT"/>
        </w:rPr>
        <w:t xml:space="preserve"> mail to:</w:t>
      </w:r>
      <w:r w:rsidRPr="00C93B3F">
        <w:rPr>
          <w:lang w:val="it-IT"/>
        </w:rPr>
        <w:tab/>
      </w:r>
      <w:proofErr w:type="spellStart"/>
      <w:r w:rsidRPr="00C93B3F">
        <w:rPr>
          <w:b/>
          <w:bCs/>
          <w:lang w:val="it-IT"/>
        </w:rPr>
        <w:t>Solactive</w:t>
      </w:r>
      <w:proofErr w:type="spellEnd"/>
      <w:r w:rsidRPr="00C93B3F">
        <w:rPr>
          <w:b/>
          <w:bCs/>
          <w:lang w:val="it-IT"/>
        </w:rPr>
        <w:t xml:space="preser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C93B3F"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02C8A7BD" w:rsidR="005055F5" w:rsidRDefault="005055F5" w:rsidP="0063592D">
      <w:pPr>
        <w:rPr>
          <w:lang w:val="en-GB"/>
        </w:rPr>
      </w:pPr>
    </w:p>
    <w:p w14:paraId="3F59E667" w14:textId="0308157E"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05F793D1"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323C0C04" w:rsidR="00381C00" w:rsidRDefault="00381C00" w:rsidP="0063592D">
      <w:pPr>
        <w:rPr>
          <w:lang w:val="en-US"/>
        </w:rPr>
      </w:pPr>
    </w:p>
    <w:p w14:paraId="0F468DAC" w14:textId="05EE612B" w:rsidR="00572562" w:rsidRDefault="00902853"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7920AFE5">
                <wp:simplePos x="0" y="0"/>
                <wp:positionH relativeFrom="page">
                  <wp:posOffset>-25400</wp:posOffset>
                </wp:positionH>
                <wp:positionV relativeFrom="page">
                  <wp:posOffset>2761615</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31"/>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2pt;margin-top:217.45pt;width:597.3pt;height:636.15pt;z-index:-251661315;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C93B3F" w:rsidRDefault="00466905" w:rsidP="00EE22E3">
                            <w:pPr>
                              <w:tabs>
                                <w:tab w:val="left" w:pos="993"/>
                              </w:tabs>
                              <w:contextualSpacing/>
                              <w:rPr>
                                <w:color w:val="FFFFFF" w:themeColor="background1"/>
                                <w:lang w:val="fr-FR" w:eastAsia="en-US"/>
                              </w:rPr>
                            </w:pPr>
                            <w:proofErr w:type="spellStart"/>
                            <w:r w:rsidRPr="00C93B3F">
                              <w:rPr>
                                <w:color w:val="FFFFFF" w:themeColor="background1"/>
                                <w:lang w:val="fr-FR" w:eastAsia="en-US"/>
                              </w:rPr>
                              <w:t>Website</w:t>
                            </w:r>
                            <w:proofErr w:type="spellEnd"/>
                            <w:r w:rsidRPr="00C93B3F">
                              <w:rPr>
                                <w:color w:val="FFFFFF" w:themeColor="background1"/>
                                <w:lang w:val="fr-FR" w:eastAsia="en-US"/>
                              </w:rPr>
                              <w:t>:</w:t>
                            </w:r>
                            <w:r w:rsidRPr="00C93B3F">
                              <w:rPr>
                                <w:color w:val="FFFFFF" w:themeColor="background1"/>
                                <w:lang w:val="fr-FR" w:eastAsia="en-US"/>
                              </w:rPr>
                              <w:tab/>
                            </w:r>
                            <w:hyperlink r:id="rId14" w:history="1">
                              <w:r w:rsidRPr="00C93B3F">
                                <w:rPr>
                                  <w:rStyle w:val="Hyperlink"/>
                                  <w:color w:val="FFFFFF" w:themeColor="background1"/>
                                  <w:lang w:val="fr-FR" w:eastAsia="en-US"/>
                                </w:rPr>
                                <w:t>www.solactive.com</w:t>
                              </w:r>
                            </w:hyperlink>
                            <w:r w:rsidRPr="00C93B3F">
                              <w:rPr>
                                <w:color w:val="FFFFFF" w:themeColor="background1"/>
                                <w:lang w:val="fr-FR" w:eastAsia="en-US"/>
                              </w:rPr>
                              <w:t xml:space="preserve"> </w:t>
                            </w:r>
                          </w:p>
                          <w:p w14:paraId="7C95E775" w14:textId="77777777" w:rsidR="00466905" w:rsidRPr="00C93B3F" w:rsidRDefault="00466905" w:rsidP="00EE22E3">
                            <w:pPr>
                              <w:tabs>
                                <w:tab w:val="left" w:pos="993"/>
                              </w:tabs>
                              <w:contextualSpacing/>
                              <w:rPr>
                                <w:color w:val="FFFFFF" w:themeColor="background1"/>
                                <w:lang w:val="fr-FR"/>
                              </w:rPr>
                            </w:pPr>
                          </w:p>
                          <w:p w14:paraId="1DDD5EBB" w14:textId="77777777" w:rsidR="00466905" w:rsidRPr="00C93B3F" w:rsidRDefault="00466905" w:rsidP="00EE22E3">
                            <w:pPr>
                              <w:tabs>
                                <w:tab w:val="left" w:pos="993"/>
                              </w:tabs>
                              <w:contextualSpacing/>
                              <w:rPr>
                                <w:color w:val="FFFFFF" w:themeColor="background1"/>
                                <w:lang w:val="fr-FR"/>
                              </w:rPr>
                            </w:pPr>
                            <w:r w:rsidRPr="00C93B3F">
                              <w:rPr>
                                <w:color w:val="FFFFFF" w:themeColor="background1"/>
                                <w:lang w:val="fr-FR"/>
                              </w:rPr>
                              <w:t xml:space="preserve">© </w:t>
                            </w:r>
                            <w:proofErr w:type="spellStart"/>
                            <w:r w:rsidRPr="00C93B3F">
                              <w:rPr>
                                <w:color w:val="FFFFFF" w:themeColor="background1"/>
                                <w:lang w:val="fr-FR"/>
                              </w:rPr>
                              <w:t>Solactive</w:t>
                            </w:r>
                            <w:proofErr w:type="spellEnd"/>
                            <w:r w:rsidRPr="00C93B3F">
                              <w:rPr>
                                <w:color w:val="FFFFFF" w:themeColor="background1"/>
                                <w:lang w:val="fr-FR"/>
                              </w:rPr>
                              <w:t xml:space="preserve"> AG</w:t>
                            </w:r>
                          </w:p>
                          <w:p w14:paraId="5087DCB6" w14:textId="77777777" w:rsidR="00466905" w:rsidRPr="00C93B3F"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C93B3F" w:rsidRDefault="00466905" w:rsidP="00EE22E3">
                      <w:pPr>
                        <w:tabs>
                          <w:tab w:val="left" w:pos="993"/>
                        </w:tabs>
                        <w:contextualSpacing/>
                        <w:rPr>
                          <w:color w:val="FFFFFF" w:themeColor="background1"/>
                          <w:lang w:val="fr-FR" w:eastAsia="en-US"/>
                        </w:rPr>
                      </w:pPr>
                      <w:proofErr w:type="spellStart"/>
                      <w:r w:rsidRPr="00C93B3F">
                        <w:rPr>
                          <w:color w:val="FFFFFF" w:themeColor="background1"/>
                          <w:lang w:val="fr-FR" w:eastAsia="en-US"/>
                        </w:rPr>
                        <w:t>Website</w:t>
                      </w:r>
                      <w:proofErr w:type="spellEnd"/>
                      <w:r w:rsidRPr="00C93B3F">
                        <w:rPr>
                          <w:color w:val="FFFFFF" w:themeColor="background1"/>
                          <w:lang w:val="fr-FR" w:eastAsia="en-US"/>
                        </w:rPr>
                        <w:t>:</w:t>
                      </w:r>
                      <w:r w:rsidRPr="00C93B3F">
                        <w:rPr>
                          <w:color w:val="FFFFFF" w:themeColor="background1"/>
                          <w:lang w:val="fr-FR" w:eastAsia="en-US"/>
                        </w:rPr>
                        <w:tab/>
                      </w:r>
                      <w:hyperlink r:id="rId16" w:history="1">
                        <w:r w:rsidRPr="00C93B3F">
                          <w:rPr>
                            <w:rStyle w:val="Hyperlink"/>
                            <w:color w:val="FFFFFF" w:themeColor="background1"/>
                            <w:lang w:val="fr-FR" w:eastAsia="en-US"/>
                          </w:rPr>
                          <w:t>www.solactive.com</w:t>
                        </w:r>
                      </w:hyperlink>
                      <w:r w:rsidRPr="00C93B3F">
                        <w:rPr>
                          <w:color w:val="FFFFFF" w:themeColor="background1"/>
                          <w:lang w:val="fr-FR" w:eastAsia="en-US"/>
                        </w:rPr>
                        <w:t xml:space="preserve"> </w:t>
                      </w:r>
                    </w:p>
                    <w:p w14:paraId="7C95E775" w14:textId="77777777" w:rsidR="00466905" w:rsidRPr="00C93B3F" w:rsidRDefault="00466905" w:rsidP="00EE22E3">
                      <w:pPr>
                        <w:tabs>
                          <w:tab w:val="left" w:pos="993"/>
                        </w:tabs>
                        <w:contextualSpacing/>
                        <w:rPr>
                          <w:color w:val="FFFFFF" w:themeColor="background1"/>
                          <w:lang w:val="fr-FR"/>
                        </w:rPr>
                      </w:pPr>
                    </w:p>
                    <w:p w14:paraId="1DDD5EBB" w14:textId="77777777" w:rsidR="00466905" w:rsidRPr="00C93B3F" w:rsidRDefault="00466905" w:rsidP="00EE22E3">
                      <w:pPr>
                        <w:tabs>
                          <w:tab w:val="left" w:pos="993"/>
                        </w:tabs>
                        <w:contextualSpacing/>
                        <w:rPr>
                          <w:color w:val="FFFFFF" w:themeColor="background1"/>
                          <w:lang w:val="fr-FR"/>
                        </w:rPr>
                      </w:pPr>
                      <w:r w:rsidRPr="00C93B3F">
                        <w:rPr>
                          <w:color w:val="FFFFFF" w:themeColor="background1"/>
                          <w:lang w:val="fr-FR"/>
                        </w:rPr>
                        <w:t xml:space="preserve">© </w:t>
                      </w:r>
                      <w:proofErr w:type="spellStart"/>
                      <w:r w:rsidRPr="00C93B3F">
                        <w:rPr>
                          <w:color w:val="FFFFFF" w:themeColor="background1"/>
                          <w:lang w:val="fr-FR"/>
                        </w:rPr>
                        <w:t>Solactive</w:t>
                      </w:r>
                      <w:proofErr w:type="spellEnd"/>
                      <w:r w:rsidRPr="00C93B3F">
                        <w:rPr>
                          <w:color w:val="FFFFFF" w:themeColor="background1"/>
                          <w:lang w:val="fr-FR"/>
                        </w:rPr>
                        <w:t xml:space="preserve"> AG</w:t>
                      </w:r>
                    </w:p>
                    <w:p w14:paraId="5087DCB6" w14:textId="77777777" w:rsidR="00466905" w:rsidRPr="00C93B3F"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embedRegular r:id="rId1" w:fontKey="{1F7C097A-C6DD-4947-AF94-0AA6A275290C}"/>
    <w:embedBold r:id="rId2" w:fontKey="{DF16F84B-D112-40BA-B508-3D3B93E291FA}"/>
    <w:embedItalic r:id="rId3" w:fontKey="{E55ADA6D-ECD8-4D74-A818-0111F1A15C3A}"/>
  </w:font>
  <w:font w:name="Calibri">
    <w:panose1 w:val="020F0502020204030204"/>
    <w:charset w:val="00"/>
    <w:family w:val="swiss"/>
    <w:pitch w:val="variable"/>
    <w:sig w:usb0="E4002EFF" w:usb1="C000247B" w:usb2="00000009" w:usb3="00000000" w:csb0="000001FF" w:csb1="00000000"/>
    <w:embedRegular r:id="rId4" w:fontKey="{E7C51B81-2BD0-471D-BC99-AA01EB54AE8B}"/>
  </w:font>
  <w:font w:name="Segoe UI">
    <w:panose1 w:val="020B0502040204020203"/>
    <w:charset w:val="00"/>
    <w:family w:val="swiss"/>
    <w:pitch w:val="variable"/>
    <w:sig w:usb0="E4002EFF" w:usb1="C000E47F" w:usb2="00000009" w:usb3="00000000" w:csb0="000001FF" w:csb1="00000000"/>
    <w:embedRegular r:id="rId5" w:fontKey="{55F532F8-94C2-47AD-A46A-FB12503F893E}"/>
  </w:font>
  <w:font w:name="Flama Semicondensed Medium">
    <w:panose1 w:val="02000000000000000000"/>
    <w:charset w:val="00"/>
    <w:family w:val="auto"/>
    <w:pitch w:val="variable"/>
    <w:sig w:usb0="A00000AF" w:usb1="4000207B" w:usb2="00000000" w:usb3="00000000" w:csb0="0000008B" w:csb1="00000000"/>
    <w:embedRegular r:id="rId6" w:fontKey="{BB7F9B71-419B-4865-AE07-9932FEB12F8E}"/>
    <w:embedBold r:id="rId7" w:fontKey="{E746F00B-2223-4955-BA5B-FE0F4796CE84}"/>
  </w:font>
  <w:font w:name="Calibri Light">
    <w:panose1 w:val="020F0302020204030204"/>
    <w:charset w:val="00"/>
    <w:family w:val="swiss"/>
    <w:pitch w:val="variable"/>
    <w:sig w:usb0="E4002EFF" w:usb1="C000247B" w:usb2="00000009" w:usb3="00000000" w:csb0="000001FF" w:csb1="00000000"/>
    <w:embedRegular r:id="rId8" w:fontKey="{D9202591-A34D-40F7-B7C4-970F688FF9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8EF20AA"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02853">
          <w:rPr>
            <w:lang w:val="en-US"/>
          </w:rPr>
          <w:t xml:space="preserve">Market Consultation </w:t>
        </w:r>
        <w:proofErr w:type="spellStart"/>
        <w:r w:rsidR="00902853">
          <w:rPr>
            <w:lang w:val="en-US"/>
          </w:rPr>
          <w:t>Solactive</w:t>
        </w:r>
        <w:proofErr w:type="spellEnd"/>
        <w:r w:rsidR="00902853">
          <w:rPr>
            <w:lang w:val="en-US"/>
          </w:rPr>
          <w:t xml:space="preserve"> Fischer Sports Betting and iGaming Index – ESG  </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3B0D89"/>
    <w:multiLevelType w:val="hybridMultilevel"/>
    <w:tmpl w:val="249CF74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545B5C"/>
    <w:multiLevelType w:val="hybridMultilevel"/>
    <w:tmpl w:val="0DE453A2"/>
    <w:lvl w:ilvl="0" w:tplc="52BECBB8">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F6D04C8"/>
    <w:multiLevelType w:val="hybridMultilevel"/>
    <w:tmpl w:val="2DC8C428"/>
    <w:lvl w:ilvl="0" w:tplc="C52493C2">
      <w:start w:val="1"/>
      <w:numFmt w:val="decimal"/>
      <w:lvlText w:val="%1)"/>
      <w:lvlJc w:val="left"/>
      <w:pPr>
        <w:ind w:left="720" w:hanging="360"/>
      </w:pPr>
      <w:rPr>
        <w:rFonts w:ascii="Flama Semicondensed Light" w:hAnsi="Flama Semicondensed Light"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D535565"/>
    <w:multiLevelType w:val="hybridMultilevel"/>
    <w:tmpl w:val="868AED4E"/>
    <w:lvl w:ilvl="0" w:tplc="5238C566">
      <w:start w:val="1"/>
      <w:numFmt w:val="decimal"/>
      <w:lvlText w:val="%1)"/>
      <w:lvlJc w:val="left"/>
      <w:pPr>
        <w:ind w:left="720" w:hanging="360"/>
      </w:pPr>
      <w:rPr>
        <w:rFonts w:ascii="Flama Semicondensed Light" w:hAnsi="Flama Semicondensed Light"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54247E"/>
    <w:multiLevelType w:val="hybridMultilevel"/>
    <w:tmpl w:val="11BE214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3A63EC6"/>
    <w:multiLevelType w:val="hybridMultilevel"/>
    <w:tmpl w:val="02EC8832"/>
    <w:lvl w:ilvl="0" w:tplc="F7503B76">
      <w:start w:val="4"/>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FA6C41"/>
    <w:multiLevelType w:val="hybridMultilevel"/>
    <w:tmpl w:val="77707340"/>
    <w:lvl w:ilvl="0" w:tplc="4350C6DE">
      <w:start w:val="1"/>
      <w:numFmt w:val="decimal"/>
      <w:lvlText w:val="%1)"/>
      <w:lvlJc w:val="left"/>
      <w:pPr>
        <w:ind w:left="720" w:hanging="360"/>
      </w:pPr>
      <w:rPr>
        <w:rFonts w:ascii="Flama Semicondensed Light" w:hAnsi="Flama Semicondensed Light"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5429C2"/>
    <w:multiLevelType w:val="multilevel"/>
    <w:tmpl w:val="2000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22"/>
  </w:num>
  <w:num w:numId="4">
    <w:abstractNumId w:val="27"/>
  </w:num>
  <w:num w:numId="5">
    <w:abstractNumId w:val="20"/>
  </w:num>
  <w:num w:numId="6">
    <w:abstractNumId w:val="10"/>
  </w:num>
  <w:num w:numId="7">
    <w:abstractNumId w:val="25"/>
  </w:num>
  <w:num w:numId="8">
    <w:abstractNumId w:val="5"/>
  </w:num>
  <w:num w:numId="9">
    <w:abstractNumId w:val="17"/>
  </w:num>
  <w:num w:numId="10">
    <w:abstractNumId w:val="15"/>
  </w:num>
  <w:num w:numId="11">
    <w:abstractNumId w:val="4"/>
  </w:num>
  <w:num w:numId="12">
    <w:abstractNumId w:val="3"/>
  </w:num>
  <w:num w:numId="13">
    <w:abstractNumId w:val="18"/>
  </w:num>
  <w:num w:numId="14">
    <w:abstractNumId w:val="12"/>
  </w:num>
  <w:num w:numId="15">
    <w:abstractNumId w:val="7"/>
  </w:num>
  <w:num w:numId="16">
    <w:abstractNumId w:val="14"/>
  </w:num>
  <w:num w:numId="17">
    <w:abstractNumId w:val="28"/>
  </w:num>
  <w:num w:numId="18">
    <w:abstractNumId w:val="11"/>
  </w:num>
  <w:num w:numId="19">
    <w:abstractNumId w:val="23"/>
  </w:num>
  <w:num w:numId="20">
    <w:abstractNumId w:val="24"/>
  </w:num>
  <w:num w:numId="21">
    <w:abstractNumId w:val="1"/>
  </w:num>
  <w:num w:numId="22">
    <w:abstractNumId w:val="2"/>
  </w:num>
  <w:num w:numId="23">
    <w:abstractNumId w:val="26"/>
  </w:num>
  <w:num w:numId="24">
    <w:abstractNumId w:val="0"/>
  </w:num>
  <w:num w:numId="25">
    <w:abstractNumId w:val="19"/>
  </w:num>
  <w:num w:numId="26">
    <w:abstractNumId w:val="21"/>
  </w:num>
  <w:num w:numId="27">
    <w:abstractNumId w:val="6"/>
  </w:num>
  <w:num w:numId="28">
    <w:abstractNumId w:val="1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BC8"/>
    <w:rsid w:val="00461F41"/>
    <w:rsid w:val="00466905"/>
    <w:rsid w:val="00471895"/>
    <w:rsid w:val="00475079"/>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E6219"/>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02853"/>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93B3F"/>
    <w:rsid w:val="00CA595E"/>
    <w:rsid w:val="00CC4A71"/>
    <w:rsid w:val="00CD41EB"/>
    <w:rsid w:val="00CD7B75"/>
    <w:rsid w:val="00CF29CC"/>
    <w:rsid w:val="00D035CD"/>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character" w:customStyle="1" w:styleId="ListParagraphChar">
    <w:name w:val="List Paragraph Char"/>
    <w:aliases w:val="Normal_puce2 Char,Puce Char"/>
    <w:basedOn w:val="DefaultParagraphFont"/>
    <w:link w:val="ListParagraph"/>
    <w:uiPriority w:val="34"/>
    <w:locked/>
    <w:rsid w:val="00C93B3F"/>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erva.info"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3214B"/>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AD9D05C645F64CFBB5F1C3E46C525A10">
    <w:name w:val="AD9D05C645F64CFBB5F1C3E46C525A10"/>
    <w:rsid w:val="0083214B"/>
    <w:rPr>
      <w:lang w:val="en-DE" w:eastAsia="en-DE"/>
    </w:rPr>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EDD6BA-7FC7-4365-AED6-90307224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749</Words>
  <Characters>4273</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Fischer Sports Betting and iGaming Index – ESG</dc:title>
  <dc:subject>Calculation Documents &amp; Methodologies</dc:subject>
  <dc:creator>Solactive AG</dc:creator>
  <cp:keywords/>
  <dc:description/>
  <cp:lastModifiedBy>Seyfried, Dominik</cp:lastModifiedBy>
  <cp:revision>22</cp:revision>
  <cp:lastPrinted>2018-12-10T16:54:00Z</cp:lastPrinted>
  <dcterms:created xsi:type="dcterms:W3CDTF">2019-08-20T16:37:00Z</dcterms:created>
  <dcterms:modified xsi:type="dcterms:W3CDTF">2021-10-14T16:57:00Z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