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KeinLeerraum"/>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C8460DB" w:rsidR="0092193A" w:rsidRPr="0097651D" w:rsidRDefault="00934EF8" w:rsidP="0092193A">
              <w:pPr>
                <w:pStyle w:val="Titel"/>
                <w:rPr>
                  <w:lang w:val="en-US"/>
                </w:rPr>
              </w:pPr>
              <w:r>
                <w:rPr>
                  <w:color w:val="FFFFFF" w:themeColor="background1"/>
                  <w:lang w:val="en-US"/>
                </w:rPr>
                <w:t>Market Consultation on the Methodology Change of UBS LGBT Employment Equality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KeinLeerraum"/>
            <w:spacing w:before="480"/>
            <w:jc w:val="center"/>
            <w:rPr>
              <w:color w:val="2784FC" w:themeColor="accent1"/>
              <w:lang w:val="en-US"/>
            </w:rPr>
          </w:pPr>
        </w:p>
        <w:p w14:paraId="42D8DB42" w14:textId="77777777" w:rsidR="003C16C2" w:rsidRPr="0097651D" w:rsidRDefault="003C16C2">
          <w:pPr>
            <w:pStyle w:val="KeinLeerraum"/>
            <w:spacing w:before="480"/>
            <w:jc w:val="center"/>
            <w:rPr>
              <w:color w:val="2784FC" w:themeColor="accent1"/>
              <w:lang w:val="en-US"/>
            </w:rPr>
          </w:pPr>
        </w:p>
        <w:p w14:paraId="14604DB8" w14:textId="77777777" w:rsidR="003C16C2" w:rsidRPr="0097651D" w:rsidRDefault="003C16C2">
          <w:pPr>
            <w:pStyle w:val="KeinLeerraum"/>
            <w:spacing w:before="480"/>
            <w:jc w:val="center"/>
            <w:rPr>
              <w:color w:val="2784FC" w:themeColor="accent1"/>
              <w:lang w:val="en-US"/>
            </w:rPr>
          </w:pPr>
        </w:p>
        <w:p w14:paraId="4D923E0C" w14:textId="77777777" w:rsidR="003C16C2" w:rsidRPr="0097651D" w:rsidRDefault="003C16C2">
          <w:pPr>
            <w:pStyle w:val="KeinLeerraum"/>
            <w:spacing w:before="480"/>
            <w:jc w:val="center"/>
            <w:rPr>
              <w:color w:val="2784FC" w:themeColor="accent1"/>
              <w:lang w:val="en-US"/>
            </w:rPr>
          </w:pPr>
        </w:p>
        <w:p w14:paraId="7E6320A8" w14:textId="77777777" w:rsidR="003C16C2" w:rsidRPr="0097651D" w:rsidRDefault="003C16C2">
          <w:pPr>
            <w:pStyle w:val="KeinLeerraum"/>
            <w:spacing w:before="480"/>
            <w:jc w:val="center"/>
            <w:rPr>
              <w:color w:val="2784FC" w:themeColor="accent1"/>
              <w:lang w:val="en-US"/>
            </w:rPr>
          </w:pPr>
        </w:p>
        <w:p w14:paraId="3BE8C61E" w14:textId="77777777" w:rsidR="0092193A" w:rsidRPr="0097651D" w:rsidRDefault="003C16C2">
          <w:pPr>
            <w:pStyle w:val="KeinLeerraum"/>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CC68408" w:rsidR="00110CA0" w:rsidRPr="00D902A1" w:rsidRDefault="00712F9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98944727"/>
                                    <w:placeholder>
                                      <w:docPart w:val="1357595803D946F98EBC5A710C9EC92C"/>
                                    </w:placeholder>
                                    <w:dataBinding w:prefixMappings="xmlns:ns0='http://schemas.microsoft.com/office/2006/coverPageProps' " w:xpath="/ns0:CoverPageProperties[1]/ns0:PublishDate[1]" w:storeItemID="{55AF091B-3C7A-41E3-B477-F2FDAA23CFDA}"/>
                                    <w:date w:fullDate="2019-05-17T00:00:00Z">
                                      <w:dateFormat w:val="dd MMMM yyyy"/>
                                      <w:lid w:val="en-GB"/>
                                      <w:storeMappedDataAs w:val="dateTime"/>
                                      <w:calendar w:val="gregorian"/>
                                    </w:date>
                                  </w:sdtPr>
                                  <w:sdtEndPr/>
                                  <w:sdtContent>
                                    <w:r w:rsidR="00934EF8">
                                      <w:rPr>
                                        <w:color w:val="FFFFFF" w:themeColor="background1"/>
                                        <w:sz w:val="26"/>
                                        <w:szCs w:val="26"/>
                                        <w:lang w:val="en-GB"/>
                                      </w:rPr>
                                      <w:t>17 May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CC68408" w:rsidR="00110CA0" w:rsidRPr="00D902A1" w:rsidRDefault="00712F9C"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98944727"/>
                              <w:placeholder>
                                <w:docPart w:val="1357595803D946F98EBC5A710C9EC92C"/>
                              </w:placeholder>
                              <w:dataBinding w:prefixMappings="xmlns:ns0='http://schemas.microsoft.com/office/2006/coverPageProps' " w:xpath="/ns0:CoverPageProperties[1]/ns0:PublishDate[1]" w:storeItemID="{55AF091B-3C7A-41E3-B477-F2FDAA23CFDA}"/>
                              <w:date w:fullDate="2019-05-17T00:00:00Z">
                                <w:dateFormat w:val="dd MMMM yyyy"/>
                                <w:lid w:val="en-GB"/>
                                <w:storeMappedDataAs w:val="dateTime"/>
                                <w:calendar w:val="gregorian"/>
                              </w:date>
                            </w:sdtPr>
                            <w:sdtEndPr/>
                            <w:sdtContent>
                              <w:r w:rsidR="00934EF8">
                                <w:rPr>
                                  <w:color w:val="FFFFFF" w:themeColor="background1"/>
                                  <w:sz w:val="26"/>
                                  <w:szCs w:val="26"/>
                                  <w:lang w:val="en-GB"/>
                                </w:rPr>
                                <w:t>17 May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DA0FE2" w:rsidRDefault="00C04273" w:rsidP="00C04273">
      <w:pPr>
        <w:spacing w:before="0" w:after="160" w:line="259" w:lineRule="auto"/>
        <w:jc w:val="left"/>
        <w:rPr>
          <w:b/>
          <w:lang w:val="en-GB"/>
        </w:rPr>
      </w:pPr>
      <w:r w:rsidRPr="00DA0FE2">
        <w:rPr>
          <w:b/>
          <w:sz w:val="28"/>
          <w:szCs w:val="28"/>
          <w:u w:val="single"/>
          <w:lang w:val="en-GB"/>
        </w:rPr>
        <w:lastRenderedPageBreak/>
        <w:t>Content of the Market Consultation</w:t>
      </w:r>
    </w:p>
    <w:p w14:paraId="0EAF7557" w14:textId="4C67D7C9" w:rsidR="002E31C9" w:rsidRDefault="002663E0" w:rsidP="00EF2C2A">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 xml:space="preserve">has decided to conduct a Market Consultation </w:t>
      </w:r>
      <w:r w:rsidR="003D4990">
        <w:rPr>
          <w:lang w:val="en-GB"/>
        </w:rPr>
        <w:t>for</w:t>
      </w:r>
      <w:r w:rsidR="00943CAB">
        <w:rPr>
          <w:lang w:val="en-GB"/>
        </w:rPr>
        <w:t xml:space="preserve"> an alteration of the rules governing the index review and adjustment of</w:t>
      </w:r>
      <w:r w:rsidR="003D4990">
        <w:rPr>
          <w:lang w:val="en-GB"/>
        </w:rPr>
        <w:t xml:space="preserve"> the indices listed </w:t>
      </w:r>
      <w:r w:rsidR="00943CAB">
        <w:rPr>
          <w:lang w:val="en-GB"/>
        </w:rPr>
        <w:t>below</w:t>
      </w:r>
      <w:r w:rsidR="00D87CA8">
        <w:rPr>
          <w:lang w:val="en-GB"/>
        </w:rPr>
        <w:t>.</w:t>
      </w:r>
      <w:r w:rsidR="00943CAB">
        <w:rPr>
          <w:lang w:val="en-GB"/>
        </w:rPr>
        <w:t xml:space="preserve"> </w:t>
      </w:r>
    </w:p>
    <w:p w14:paraId="26594484" w14:textId="69775FA3" w:rsidR="002E31C9" w:rsidRPr="007B0DB2" w:rsidRDefault="004D6EBA" w:rsidP="007B0DB2">
      <w:pPr>
        <w:spacing w:before="0" w:after="160" w:line="259" w:lineRule="auto"/>
        <w:jc w:val="left"/>
        <w:rPr>
          <w:b/>
          <w:u w:val="single"/>
          <w:lang w:val="en-GB"/>
        </w:rPr>
      </w:pPr>
      <w:r w:rsidRPr="007B0DB2">
        <w:rPr>
          <w:b/>
          <w:u w:val="single"/>
          <w:lang w:val="en-GB"/>
        </w:rPr>
        <w:t>Rational</w:t>
      </w:r>
      <w:r w:rsidR="00934EF8">
        <w:rPr>
          <w:b/>
          <w:u w:val="single"/>
          <w:lang w:val="en-GB"/>
        </w:rPr>
        <w:t>e</w:t>
      </w:r>
      <w:r w:rsidRPr="007B0DB2">
        <w:rPr>
          <w:b/>
          <w:u w:val="single"/>
          <w:lang w:val="en-GB"/>
        </w:rPr>
        <w:t xml:space="preserve"> for Market Consultation</w:t>
      </w:r>
    </w:p>
    <w:p w14:paraId="4106CE1C" w14:textId="77777777" w:rsidR="00F44ECD" w:rsidRDefault="00F44ECD" w:rsidP="00F44ECD">
      <w:pPr>
        <w:spacing w:before="0" w:after="160" w:line="259" w:lineRule="auto"/>
        <w:rPr>
          <w:lang w:val="en-GB"/>
        </w:rPr>
      </w:pPr>
      <w:r>
        <w:rPr>
          <w:lang w:val="en-GB"/>
        </w:rPr>
        <w:t xml:space="preserve">The affected indices listed below are designed to track </w:t>
      </w:r>
      <w:r w:rsidRPr="00F44ECD">
        <w:rPr>
          <w:lang w:val="en-GB"/>
        </w:rPr>
        <w:t>the price movements of US companies with workplaces</w:t>
      </w:r>
      <w:r>
        <w:rPr>
          <w:lang w:val="en-GB"/>
        </w:rPr>
        <w:t xml:space="preserve"> </w:t>
      </w:r>
      <w:r w:rsidRPr="00F44ECD">
        <w:rPr>
          <w:lang w:val="en-GB"/>
        </w:rPr>
        <w:t>that provide LGBT equality through their company and employment policies</w:t>
      </w:r>
      <w:r>
        <w:rPr>
          <w:lang w:val="en-GB"/>
        </w:rPr>
        <w:t>.</w:t>
      </w:r>
    </w:p>
    <w:p w14:paraId="78EFB938" w14:textId="6823490D" w:rsidR="00F44ECD" w:rsidRDefault="00F44ECD" w:rsidP="00F44ECD">
      <w:pPr>
        <w:spacing w:before="0" w:after="160" w:line="259" w:lineRule="auto"/>
        <w:rPr>
          <w:lang w:val="en-GB"/>
        </w:rPr>
      </w:pPr>
      <w:r>
        <w:rPr>
          <w:lang w:val="en-GB"/>
        </w:rPr>
        <w:t>In order to determine LGBT equality, the constituent selection relies on data published in the Human Rights Campaign Foundation’s Corporate Equality Index (“HRC CEI”), which is published on an annual basis and available through the website of the Human Rights Campaign Foundation (</w:t>
      </w:r>
      <w:hyperlink r:id="rId11" w:history="1">
        <w:r w:rsidRPr="000A73D1">
          <w:rPr>
            <w:rStyle w:val="Hyperlink"/>
            <w:lang w:val="en-GB"/>
          </w:rPr>
          <w:t>www.hrc.org</w:t>
        </w:r>
      </w:hyperlink>
      <w:r>
        <w:rPr>
          <w:lang w:val="en-GB"/>
        </w:rPr>
        <w:t>).</w:t>
      </w:r>
    </w:p>
    <w:p w14:paraId="1FCA9131" w14:textId="39DFDA73" w:rsidR="00F44ECD" w:rsidRDefault="00F44ECD" w:rsidP="00F44ECD">
      <w:pPr>
        <w:spacing w:before="0" w:after="160" w:line="259" w:lineRule="auto"/>
        <w:rPr>
          <w:lang w:val="en-GB"/>
        </w:rPr>
      </w:pPr>
      <w:r>
        <w:rPr>
          <w:lang w:val="en-GB"/>
        </w:rPr>
        <w:t>In the current setup the affected indices are fully reconstituted annually in January based on the latest HRC CEI. Additionally, index constituents can be removed from the indices on a quarterly basis if the HRC publishes a revised score for a company that is below 85. Solactive AG has determined that this setup might lead to situations where the annual reconstitution in January takes place before the latest annual HRC CEI is published. With the next reconstitution following only one year later, the affected indices might reflect outdated data for a period of one year, potentially leaving out companies that have achieved a sufficient rating in the latest HRC CEI.</w:t>
      </w:r>
    </w:p>
    <w:p w14:paraId="5BCC3F86" w14:textId="6D8CFA96" w:rsidR="00F44ECD" w:rsidRDefault="00F44ECD" w:rsidP="00F44ECD">
      <w:pPr>
        <w:spacing w:before="0" w:after="160" w:line="259" w:lineRule="auto"/>
        <w:rPr>
          <w:lang w:val="en-GB"/>
        </w:rPr>
      </w:pPr>
      <w:r>
        <w:rPr>
          <w:lang w:val="en-GB"/>
        </w:rPr>
        <w:t>Therefore, Solactive proposes to alter the methodology in a way that takes into account the publication date of the latest annual HRC CEI. The indices would be reviewed on a quarterly basis</w:t>
      </w:r>
      <w:r w:rsidR="00BE4EDD">
        <w:rPr>
          <w:lang w:val="en-GB"/>
        </w:rPr>
        <w:t>, with a full reconstitution if a new annual HRC CEI has been published since the last quarterly review. If no new annual HRC CEI has been published since the last quarterly index review, the affected indices would keep the current practice of only removing companies if the HRC publishes a revised score for a company that is below 85</w:t>
      </w:r>
    </w:p>
    <w:p w14:paraId="4088C607" w14:textId="76AD7C86" w:rsidR="00E474F0" w:rsidRPr="00553707" w:rsidRDefault="00224D03" w:rsidP="00F44ECD">
      <w:pPr>
        <w:spacing w:before="0" w:after="160" w:line="259" w:lineRule="auto"/>
        <w:rPr>
          <w:color w:val="000000"/>
          <w:u w:val="single"/>
          <w:lang w:val="en-US"/>
        </w:rPr>
      </w:pPr>
      <w:r>
        <w:rPr>
          <w:b/>
          <w:u w:val="single"/>
          <w:lang w:val="en-GB"/>
        </w:rPr>
        <w:br/>
      </w:r>
      <w:r w:rsidR="00E474F0" w:rsidRPr="00E474F0">
        <w:rPr>
          <w:b/>
          <w:u w:val="single"/>
          <w:lang w:val="en-GB"/>
        </w:rPr>
        <w:t>Proposed changes</w:t>
      </w:r>
    </w:p>
    <w:p w14:paraId="6308B663" w14:textId="7DAC69F6" w:rsidR="00C46BAB" w:rsidRDefault="00A17ECC" w:rsidP="00A17ECC">
      <w:pPr>
        <w:rPr>
          <w:lang w:val="en-US"/>
        </w:rPr>
      </w:pPr>
      <w:r w:rsidRPr="00A17ECC">
        <w:rPr>
          <w:lang w:val="en-US"/>
        </w:rPr>
        <w:t xml:space="preserve">The </w:t>
      </w:r>
      <w:r w:rsidR="00305A0D">
        <w:rPr>
          <w:lang w:val="en-US"/>
        </w:rPr>
        <w:t>amendments</w:t>
      </w:r>
      <w:r w:rsidR="00E1559F">
        <w:rPr>
          <w:lang w:val="en-US"/>
        </w:rPr>
        <w:t xml:space="preserve"> </w:t>
      </w:r>
      <w:r w:rsidR="00305A0D">
        <w:rPr>
          <w:lang w:val="en-US"/>
        </w:rPr>
        <w:t xml:space="preserve">to </w:t>
      </w:r>
      <w:r w:rsidR="00E1559F">
        <w:rPr>
          <w:lang w:val="en-US"/>
        </w:rPr>
        <w:t>and addition</w:t>
      </w:r>
      <w:r w:rsidR="00305A0D">
        <w:rPr>
          <w:lang w:val="en-US"/>
        </w:rPr>
        <w:t xml:space="preserve"> of</w:t>
      </w:r>
      <w:r w:rsidR="00E1559F">
        <w:rPr>
          <w:lang w:val="en-US"/>
        </w:rPr>
        <w:t xml:space="preserve"> </w:t>
      </w:r>
      <w:r w:rsidR="00C46BAB">
        <w:rPr>
          <w:lang w:val="en-US"/>
        </w:rPr>
        <w:t xml:space="preserve">some </w:t>
      </w:r>
      <w:r w:rsidR="00E1559F">
        <w:rPr>
          <w:lang w:val="en-US"/>
        </w:rPr>
        <w:t>definitions</w:t>
      </w:r>
      <w:r w:rsidR="00C46BAB">
        <w:rPr>
          <w:lang w:val="en-US"/>
        </w:rPr>
        <w:t xml:space="preserve"> in Section</w:t>
      </w:r>
      <w:r w:rsidR="00BE4EDD">
        <w:rPr>
          <w:lang w:val="en-US"/>
        </w:rPr>
        <w:t>s 2.1 and</w:t>
      </w:r>
      <w:r w:rsidR="00C46BAB">
        <w:rPr>
          <w:lang w:val="en-US"/>
        </w:rPr>
        <w:t xml:space="preserve"> 4</w:t>
      </w:r>
      <w:r w:rsidR="00E1559F">
        <w:rPr>
          <w:lang w:val="en-US"/>
        </w:rPr>
        <w:t xml:space="preserve"> </w:t>
      </w:r>
      <w:r w:rsidR="00305A0D">
        <w:rPr>
          <w:lang w:val="en-US"/>
        </w:rPr>
        <w:t xml:space="preserve">of the relevant index guidelines </w:t>
      </w:r>
      <w:r w:rsidR="00E1559F">
        <w:rPr>
          <w:lang w:val="en-US"/>
        </w:rPr>
        <w:t>are proposed as follows</w:t>
      </w:r>
      <w:r w:rsidR="00C46BAB">
        <w:rPr>
          <w:lang w:val="en-US"/>
        </w:rPr>
        <w:t>:</w:t>
      </w:r>
    </w:p>
    <w:p w14:paraId="211929CE" w14:textId="77777777" w:rsidR="00305A0D" w:rsidRDefault="00305A0D" w:rsidP="00A17ECC">
      <w:pPr>
        <w:rPr>
          <w:lang w:val="en-US"/>
        </w:rPr>
      </w:pPr>
    </w:p>
    <w:p w14:paraId="0CD01108" w14:textId="5CACE262" w:rsidR="00A17ECC" w:rsidRPr="00BC5C30" w:rsidRDefault="00305A0D" w:rsidP="006C3534">
      <w:pPr>
        <w:pStyle w:val="Listenabsatz"/>
        <w:numPr>
          <w:ilvl w:val="0"/>
          <w:numId w:val="30"/>
        </w:numPr>
        <w:ind w:left="426" w:hanging="426"/>
        <w:rPr>
          <w:lang w:val="en-US"/>
        </w:rPr>
      </w:pPr>
      <w:r>
        <w:rPr>
          <w:lang w:val="en-US"/>
        </w:rPr>
        <w:t>With respect to the following indices</w:t>
      </w:r>
      <w:r w:rsidR="00C46BAB" w:rsidRPr="00BC5C30">
        <w:rPr>
          <w:lang w:val="en-US"/>
        </w:rPr>
        <w:t xml:space="preserve">: </w:t>
      </w:r>
    </w:p>
    <w:tbl>
      <w:tblPr>
        <w:tblStyle w:val="Tabellenraster"/>
        <w:tblW w:w="0" w:type="auto"/>
        <w:tblLook w:val="04A0" w:firstRow="1" w:lastRow="0" w:firstColumn="1" w:lastColumn="0" w:noHBand="0" w:noVBand="1"/>
      </w:tblPr>
      <w:tblGrid>
        <w:gridCol w:w="5382"/>
        <w:gridCol w:w="1984"/>
        <w:gridCol w:w="2186"/>
      </w:tblGrid>
      <w:tr w:rsidR="00446E9D" w:rsidRPr="00695AA0" w14:paraId="0FF353EB" w14:textId="77777777" w:rsidTr="00F44ECD">
        <w:trPr>
          <w:trHeight w:val="330"/>
        </w:trPr>
        <w:tc>
          <w:tcPr>
            <w:tcW w:w="5382" w:type="dxa"/>
            <w:noWrap/>
            <w:hideMark/>
          </w:tcPr>
          <w:p w14:paraId="535CFF35" w14:textId="77777777" w:rsidR="00446E9D" w:rsidRPr="00695AA0" w:rsidRDefault="00446E9D" w:rsidP="006D57A2">
            <w:pPr>
              <w:spacing w:before="0" w:after="160" w:line="259" w:lineRule="auto"/>
              <w:rPr>
                <w:b/>
                <w:bCs/>
              </w:rPr>
            </w:pPr>
            <w:r w:rsidRPr="00695AA0">
              <w:rPr>
                <w:b/>
                <w:bCs/>
              </w:rPr>
              <w:t>NAME</w:t>
            </w:r>
          </w:p>
        </w:tc>
        <w:tc>
          <w:tcPr>
            <w:tcW w:w="1984" w:type="dxa"/>
            <w:noWrap/>
            <w:hideMark/>
          </w:tcPr>
          <w:p w14:paraId="31B77FC7" w14:textId="77777777" w:rsidR="00446E9D" w:rsidRPr="00695AA0" w:rsidRDefault="00446E9D" w:rsidP="006D57A2">
            <w:pPr>
              <w:spacing w:before="0" w:after="160" w:line="259" w:lineRule="auto"/>
              <w:rPr>
                <w:b/>
                <w:bCs/>
              </w:rPr>
            </w:pPr>
            <w:r w:rsidRPr="00695AA0">
              <w:rPr>
                <w:b/>
                <w:bCs/>
              </w:rPr>
              <w:t>INDEX RIC</w:t>
            </w:r>
          </w:p>
        </w:tc>
        <w:tc>
          <w:tcPr>
            <w:tcW w:w="2186" w:type="dxa"/>
            <w:noWrap/>
            <w:hideMark/>
          </w:tcPr>
          <w:p w14:paraId="67ADC1DE" w14:textId="77777777" w:rsidR="00446E9D" w:rsidRPr="00695AA0" w:rsidRDefault="00446E9D" w:rsidP="006D57A2">
            <w:pPr>
              <w:spacing w:before="0" w:after="160" w:line="259" w:lineRule="auto"/>
              <w:rPr>
                <w:b/>
                <w:bCs/>
              </w:rPr>
            </w:pPr>
            <w:r w:rsidRPr="00695AA0">
              <w:rPr>
                <w:b/>
                <w:bCs/>
              </w:rPr>
              <w:t>INDEX ISIN</w:t>
            </w:r>
          </w:p>
        </w:tc>
      </w:tr>
      <w:tr w:rsidR="00446E9D" w:rsidRPr="00F44ECD" w14:paraId="59C96D0A" w14:textId="77777777" w:rsidTr="00F44ECD">
        <w:trPr>
          <w:trHeight w:val="330"/>
        </w:trPr>
        <w:tc>
          <w:tcPr>
            <w:tcW w:w="5382" w:type="dxa"/>
            <w:noWrap/>
          </w:tcPr>
          <w:p w14:paraId="04E711ED" w14:textId="717F5522" w:rsidR="00446E9D" w:rsidRPr="00695AA0" w:rsidRDefault="00F44ECD" w:rsidP="006D57A2">
            <w:pPr>
              <w:spacing w:before="0" w:after="160" w:line="259" w:lineRule="auto"/>
              <w:rPr>
                <w:lang w:val="en-US"/>
              </w:rPr>
            </w:pPr>
            <w:r w:rsidRPr="00F44ECD">
              <w:rPr>
                <w:lang w:val="en-US"/>
              </w:rPr>
              <w:t>UBS LGBT Employment Equality Index</w:t>
            </w:r>
          </w:p>
        </w:tc>
        <w:tc>
          <w:tcPr>
            <w:tcW w:w="1984" w:type="dxa"/>
            <w:noWrap/>
          </w:tcPr>
          <w:p w14:paraId="2FA76360" w14:textId="1F6ADA01" w:rsidR="00446E9D" w:rsidRPr="00F44ECD" w:rsidRDefault="00F44ECD" w:rsidP="006D57A2">
            <w:pPr>
              <w:spacing w:before="0" w:after="160" w:line="259" w:lineRule="auto"/>
              <w:rPr>
                <w:lang w:val="en-US"/>
              </w:rPr>
            </w:pPr>
            <w:r>
              <w:rPr>
                <w:lang w:val="en-US"/>
              </w:rPr>
              <w:t>.UBSLGBTP</w:t>
            </w:r>
          </w:p>
        </w:tc>
        <w:tc>
          <w:tcPr>
            <w:tcW w:w="2186" w:type="dxa"/>
            <w:noWrap/>
          </w:tcPr>
          <w:p w14:paraId="439C2F25" w14:textId="6414375C" w:rsidR="00446E9D" w:rsidRPr="00F44ECD" w:rsidRDefault="00F44ECD" w:rsidP="006D57A2">
            <w:pPr>
              <w:spacing w:before="0" w:after="160" w:line="259" w:lineRule="auto"/>
              <w:rPr>
                <w:lang w:val="en-US"/>
              </w:rPr>
            </w:pPr>
            <w:r w:rsidRPr="00F44ECD">
              <w:rPr>
                <w:lang w:val="en-US"/>
              </w:rPr>
              <w:t>DE000SLA4Z34</w:t>
            </w:r>
          </w:p>
        </w:tc>
      </w:tr>
      <w:tr w:rsidR="00446E9D" w:rsidRPr="00F44ECD" w14:paraId="07F64822" w14:textId="77777777" w:rsidTr="00F44ECD">
        <w:trPr>
          <w:trHeight w:val="330"/>
        </w:trPr>
        <w:tc>
          <w:tcPr>
            <w:tcW w:w="5382" w:type="dxa"/>
            <w:noWrap/>
          </w:tcPr>
          <w:p w14:paraId="1F69073B" w14:textId="5B5FF603" w:rsidR="00446E9D" w:rsidRPr="00695AA0" w:rsidRDefault="00F44ECD" w:rsidP="006D57A2">
            <w:pPr>
              <w:spacing w:before="0" w:after="160" w:line="259" w:lineRule="auto"/>
              <w:rPr>
                <w:lang w:val="en-US"/>
              </w:rPr>
            </w:pPr>
            <w:r w:rsidRPr="00F44ECD">
              <w:rPr>
                <w:lang w:val="en-US"/>
              </w:rPr>
              <w:t>UBS LGBT Employment Equality Index</w:t>
            </w:r>
            <w:r>
              <w:rPr>
                <w:lang w:val="en-US"/>
              </w:rPr>
              <w:t xml:space="preserve"> TR</w:t>
            </w:r>
          </w:p>
        </w:tc>
        <w:tc>
          <w:tcPr>
            <w:tcW w:w="1984" w:type="dxa"/>
            <w:noWrap/>
          </w:tcPr>
          <w:p w14:paraId="1B4719CF" w14:textId="3B5A6D18" w:rsidR="00446E9D" w:rsidRPr="00F44ECD" w:rsidRDefault="00F44ECD" w:rsidP="006D57A2">
            <w:pPr>
              <w:spacing w:before="0" w:after="160" w:line="259" w:lineRule="auto"/>
              <w:rPr>
                <w:lang w:val="en-US"/>
              </w:rPr>
            </w:pPr>
            <w:r>
              <w:rPr>
                <w:lang w:val="en-US"/>
              </w:rPr>
              <w:t>.UBSLGBTT</w:t>
            </w:r>
          </w:p>
        </w:tc>
        <w:tc>
          <w:tcPr>
            <w:tcW w:w="2186" w:type="dxa"/>
            <w:noWrap/>
          </w:tcPr>
          <w:p w14:paraId="11B5D698" w14:textId="1ED47756" w:rsidR="00446E9D" w:rsidRPr="00F44ECD" w:rsidRDefault="00F44ECD" w:rsidP="006D57A2">
            <w:pPr>
              <w:spacing w:before="0" w:after="160" w:line="259" w:lineRule="auto"/>
              <w:rPr>
                <w:lang w:val="en-US"/>
              </w:rPr>
            </w:pPr>
            <w:r w:rsidRPr="00F44ECD">
              <w:rPr>
                <w:lang w:val="en-US"/>
              </w:rPr>
              <w:t>DE000SLA4Z42</w:t>
            </w:r>
          </w:p>
        </w:tc>
      </w:tr>
    </w:tbl>
    <w:p w14:paraId="253BF2AA" w14:textId="5A69EC3D" w:rsidR="00EE6B40" w:rsidRDefault="00EE6B40" w:rsidP="00BE4EDD">
      <w:pPr>
        <w:rPr>
          <w:lang w:val="en-US"/>
        </w:rPr>
      </w:pPr>
    </w:p>
    <w:p w14:paraId="2C98D354" w14:textId="377FE22A" w:rsidR="00BE4EDD" w:rsidRPr="0044068C" w:rsidRDefault="00BE4EDD" w:rsidP="0044068C">
      <w:pPr>
        <w:pStyle w:val="Listenabsatz"/>
        <w:numPr>
          <w:ilvl w:val="0"/>
          <w:numId w:val="37"/>
        </w:numPr>
        <w:rPr>
          <w:lang w:val="en-US"/>
        </w:rPr>
      </w:pPr>
      <w:r w:rsidRPr="00BE4EDD">
        <w:rPr>
          <w:lang w:val="en-US"/>
        </w:rPr>
        <w:lastRenderedPageBreak/>
        <w:t>The definitions of “Selection Day” and “</w:t>
      </w:r>
      <w:r>
        <w:rPr>
          <w:lang w:val="en-US"/>
        </w:rPr>
        <w:t>Ordinary</w:t>
      </w:r>
      <w:r w:rsidR="0044068C">
        <w:rPr>
          <w:lang w:val="en-US"/>
        </w:rPr>
        <w:t xml:space="preserve"> Review Implementation Day</w:t>
      </w:r>
      <w:r w:rsidRPr="00BE4EDD">
        <w:rPr>
          <w:lang w:val="en-US"/>
        </w:rPr>
        <w:t>” will be removed</w:t>
      </w:r>
      <w:r w:rsidR="0044068C">
        <w:rPr>
          <w:lang w:val="en-US"/>
        </w:rPr>
        <w:t xml:space="preserve">. Any reference to the “Selection Day” in the index guidelines shall be replaced by reference to the “Ordinary Review Day”.  Any reference to the “Ordinary Review Implementation Day” in the index guidelines shall be replaced by reference to the “Adjustment Day”. </w:t>
      </w:r>
    </w:p>
    <w:p w14:paraId="57443256" w14:textId="3B68F28E" w:rsidR="00BE4EDD" w:rsidRDefault="00BE4EDD" w:rsidP="00BE4EDD">
      <w:pPr>
        <w:pStyle w:val="Listenabsatz"/>
        <w:numPr>
          <w:ilvl w:val="0"/>
          <w:numId w:val="37"/>
        </w:numPr>
        <w:rPr>
          <w:lang w:val="en-US"/>
        </w:rPr>
      </w:pPr>
      <w:r>
        <w:rPr>
          <w:lang w:val="en-US"/>
        </w:rPr>
        <w:t xml:space="preserve">The definitions of “Ordinary Review Day” and “Adjustment Day” shall be </w:t>
      </w:r>
      <w:r w:rsidR="00943CAB">
        <w:rPr>
          <w:lang w:val="en-US"/>
        </w:rPr>
        <w:t>altered</w:t>
      </w:r>
      <w:r>
        <w:rPr>
          <w:lang w:val="en-US"/>
        </w:rPr>
        <w:t xml:space="preserve"> from:</w:t>
      </w:r>
    </w:p>
    <w:p w14:paraId="024B7BFD" w14:textId="5AF3889D" w:rsidR="0044068C" w:rsidRPr="0011307F" w:rsidRDefault="0044068C" w:rsidP="0044068C">
      <w:pPr>
        <w:ind w:left="360"/>
        <w:rPr>
          <w:i/>
          <w:lang w:val="en-US"/>
        </w:rPr>
      </w:pPr>
      <w:r w:rsidRPr="0011307F">
        <w:rPr>
          <w:b/>
          <w:i/>
          <w:lang w:val="en-US"/>
        </w:rPr>
        <w:t xml:space="preserve"> “Ordinary Review Day”</w:t>
      </w:r>
      <w:r w:rsidRPr="0011307F">
        <w:rPr>
          <w:i/>
          <w:lang w:val="en-US"/>
        </w:rPr>
        <w:t xml:space="preserve"> is the 2nd Friday April, July, and October.</w:t>
      </w:r>
    </w:p>
    <w:p w14:paraId="4BCCD1F1" w14:textId="6853B184" w:rsidR="0044068C" w:rsidRPr="0011307F" w:rsidRDefault="0044068C" w:rsidP="0044068C">
      <w:pPr>
        <w:ind w:left="360"/>
        <w:rPr>
          <w:i/>
          <w:lang w:val="en-US"/>
        </w:rPr>
      </w:pPr>
      <w:r w:rsidRPr="0011307F">
        <w:rPr>
          <w:b/>
          <w:i/>
          <w:lang w:val="en-US"/>
        </w:rPr>
        <w:t>“Adjustment Day”</w:t>
      </w:r>
      <w:r w:rsidRPr="0011307F">
        <w:rPr>
          <w:i/>
          <w:lang w:val="en-US"/>
        </w:rPr>
        <w:t xml:space="preserve"> is the 3rd Friday in January. </w:t>
      </w:r>
    </w:p>
    <w:p w14:paraId="1A62ABED" w14:textId="5D1AB6E9" w:rsidR="00F5470C" w:rsidRDefault="00BE4EDD" w:rsidP="0044068C">
      <w:pPr>
        <w:ind w:left="360"/>
        <w:rPr>
          <w:lang w:val="en-US"/>
        </w:rPr>
      </w:pPr>
      <w:r>
        <w:rPr>
          <w:lang w:val="en-US"/>
        </w:rPr>
        <w:t>to:</w:t>
      </w:r>
    </w:p>
    <w:p w14:paraId="30D9CA59" w14:textId="3FA05170" w:rsidR="0044068C" w:rsidRPr="0011307F" w:rsidRDefault="0044068C" w:rsidP="0044068C">
      <w:pPr>
        <w:ind w:left="360"/>
        <w:rPr>
          <w:i/>
          <w:lang w:val="en-US"/>
        </w:rPr>
      </w:pPr>
      <w:r w:rsidRPr="0011307F">
        <w:rPr>
          <w:b/>
          <w:i/>
          <w:lang w:val="en-US"/>
        </w:rPr>
        <w:t>“Ordinary Review Day”</w:t>
      </w:r>
      <w:r w:rsidRPr="0011307F">
        <w:rPr>
          <w:i/>
          <w:lang w:val="en-US"/>
        </w:rPr>
        <w:t xml:space="preserve"> is the 2nd Friday January, April, July, and October.</w:t>
      </w:r>
    </w:p>
    <w:p w14:paraId="4535E6F5" w14:textId="77777777" w:rsidR="0044068C" w:rsidRPr="0011307F" w:rsidRDefault="0044068C" w:rsidP="0044068C">
      <w:pPr>
        <w:ind w:left="360"/>
        <w:rPr>
          <w:i/>
          <w:lang w:val="en-US"/>
        </w:rPr>
      </w:pPr>
      <w:r w:rsidRPr="0011307F">
        <w:rPr>
          <w:b/>
          <w:i/>
          <w:lang w:val="en-US"/>
        </w:rPr>
        <w:t>“Adjustment Day”</w:t>
      </w:r>
      <w:r w:rsidRPr="0011307F">
        <w:rPr>
          <w:i/>
          <w:lang w:val="en-US"/>
        </w:rPr>
        <w:t xml:space="preserve"> is the 3rd Friday in January, April, July, and October</w:t>
      </w:r>
    </w:p>
    <w:p w14:paraId="2E347B52" w14:textId="6819634B" w:rsidR="0044068C" w:rsidRDefault="0044068C" w:rsidP="0044068C">
      <w:pPr>
        <w:pStyle w:val="Listenabsatz"/>
        <w:numPr>
          <w:ilvl w:val="0"/>
          <w:numId w:val="37"/>
        </w:numPr>
        <w:rPr>
          <w:lang w:val="en-US"/>
        </w:rPr>
      </w:pPr>
      <w:r>
        <w:rPr>
          <w:lang w:val="en-US"/>
        </w:rPr>
        <w:t xml:space="preserve">Section 2.1 shall be </w:t>
      </w:r>
      <w:r w:rsidR="00943CAB">
        <w:rPr>
          <w:lang w:val="en-US"/>
        </w:rPr>
        <w:t>altered</w:t>
      </w:r>
      <w:r>
        <w:rPr>
          <w:lang w:val="en-US"/>
        </w:rPr>
        <w:t xml:space="preserve"> from</w:t>
      </w:r>
    </w:p>
    <w:p w14:paraId="58EBED97" w14:textId="77777777" w:rsidR="0044068C" w:rsidRPr="0011307F" w:rsidRDefault="0044068C" w:rsidP="0044068C">
      <w:pPr>
        <w:ind w:left="360"/>
        <w:rPr>
          <w:i/>
          <w:lang w:val="en-US"/>
        </w:rPr>
      </w:pPr>
      <w:r w:rsidRPr="0011307F">
        <w:rPr>
          <w:i/>
          <w:lang w:val="en-US"/>
        </w:rPr>
        <w:t xml:space="preserve">The initial composition of the Index as well as any ongoing adjustment is based on the following rules: On the Selection Days, Solactive AG defines the Index Universe as described in section 4 of this document. </w:t>
      </w:r>
    </w:p>
    <w:p w14:paraId="0F11D1AF" w14:textId="77777777" w:rsidR="0044068C" w:rsidRPr="0011307F" w:rsidRDefault="0044068C" w:rsidP="0044068C">
      <w:pPr>
        <w:ind w:left="360"/>
        <w:rPr>
          <w:i/>
          <w:lang w:val="en-US"/>
        </w:rPr>
      </w:pPr>
      <w:r w:rsidRPr="0011307F">
        <w:rPr>
          <w:i/>
          <w:lang w:val="en-US"/>
        </w:rPr>
        <w:t xml:space="preserve">All companies in the Index Universe which have scored 85 or higher on the Human Rights Campaign Foundation Corporate Equality Index as of the Selection Day are selected as final Index Components. </w:t>
      </w:r>
    </w:p>
    <w:p w14:paraId="34E800F2" w14:textId="6E069F15" w:rsidR="0044068C" w:rsidRPr="0011307F" w:rsidRDefault="0044068C" w:rsidP="0044068C">
      <w:pPr>
        <w:ind w:left="360"/>
        <w:rPr>
          <w:i/>
          <w:lang w:val="en-US"/>
        </w:rPr>
      </w:pPr>
      <w:r w:rsidRPr="0011307F">
        <w:rPr>
          <w:i/>
          <w:lang w:val="en-US"/>
        </w:rPr>
        <w:t xml:space="preserve">If the selection results in a final number of Index Components below 40, additional companies will be selected based on the rules outlined below until a total number of 40 Index Components has been reached: </w:t>
      </w:r>
    </w:p>
    <w:p w14:paraId="1857A836" w14:textId="77777777" w:rsidR="0044068C" w:rsidRPr="0011307F" w:rsidRDefault="0044068C" w:rsidP="0044068C">
      <w:pPr>
        <w:ind w:left="708"/>
        <w:rPr>
          <w:i/>
          <w:lang w:val="en-US"/>
        </w:rPr>
      </w:pPr>
      <w:r w:rsidRPr="0011307F">
        <w:rPr>
          <w:i/>
          <w:lang w:val="en-US"/>
        </w:rPr>
        <w:t xml:space="preserve">1. Companies that have been part of the index as of the last rebalancing and are not part of the current selection will be selected based on highest Market Capitalization </w:t>
      </w:r>
    </w:p>
    <w:p w14:paraId="496453E4" w14:textId="43791CEE" w:rsidR="0044068C" w:rsidRPr="0011307F" w:rsidRDefault="0044068C" w:rsidP="0044068C">
      <w:pPr>
        <w:ind w:left="708"/>
        <w:rPr>
          <w:i/>
          <w:lang w:val="en-US"/>
        </w:rPr>
      </w:pPr>
      <w:r w:rsidRPr="0011307F">
        <w:rPr>
          <w:i/>
          <w:lang w:val="en-US"/>
        </w:rPr>
        <w:t>2. If the rule above does not result in the required 40 Index Components, additional constituents will be selected from the Index Universe based on highest Market Capitalization</w:t>
      </w:r>
    </w:p>
    <w:p w14:paraId="23DB2FFC" w14:textId="62CC023D" w:rsidR="0044068C" w:rsidRPr="0044068C" w:rsidRDefault="0044068C" w:rsidP="0044068C">
      <w:pPr>
        <w:ind w:left="360"/>
        <w:rPr>
          <w:lang w:val="en-US"/>
        </w:rPr>
      </w:pPr>
      <w:r>
        <w:rPr>
          <w:lang w:val="en-US"/>
        </w:rPr>
        <w:t>to:</w:t>
      </w:r>
    </w:p>
    <w:p w14:paraId="64E7EF72" w14:textId="795895B4" w:rsidR="0044068C" w:rsidRPr="0011307F" w:rsidRDefault="0044068C" w:rsidP="0044068C">
      <w:pPr>
        <w:ind w:left="360"/>
        <w:rPr>
          <w:i/>
          <w:lang w:val="en-US"/>
        </w:rPr>
      </w:pPr>
      <w:r w:rsidRPr="0011307F">
        <w:rPr>
          <w:i/>
          <w:lang w:val="en-US"/>
        </w:rPr>
        <w:t>The initial composition of the Index as well as any ongoing adjustment is based on the following rules: On each Ordinary Review Day Solactive determines whether a new annual HRC CEI has been published by the Human Rights Campaign Foundation within 30 business days before the Ordinary Review Day.</w:t>
      </w:r>
    </w:p>
    <w:p w14:paraId="56740CCE" w14:textId="7D7F1A31" w:rsidR="0044068C" w:rsidRPr="0011307F" w:rsidRDefault="0011307F" w:rsidP="0011307F">
      <w:pPr>
        <w:ind w:left="360"/>
        <w:rPr>
          <w:i/>
          <w:lang w:val="en-US"/>
        </w:rPr>
      </w:pPr>
      <w:r w:rsidRPr="0011307F">
        <w:rPr>
          <w:i/>
          <w:lang w:val="en-US"/>
        </w:rPr>
        <w:t xml:space="preserve">(A) </w:t>
      </w:r>
      <w:r>
        <w:rPr>
          <w:i/>
          <w:lang w:val="en-US"/>
        </w:rPr>
        <w:t>I</w:t>
      </w:r>
      <w:r w:rsidR="0044068C" w:rsidRPr="0011307F">
        <w:rPr>
          <w:i/>
          <w:lang w:val="en-US"/>
        </w:rPr>
        <w:t>f this is the case, Solactive AG defines the Index Universe as described in section 4 of this document</w:t>
      </w:r>
    </w:p>
    <w:p w14:paraId="6505AD97" w14:textId="77777777" w:rsidR="0044068C" w:rsidRPr="0011307F" w:rsidRDefault="0044068C" w:rsidP="0044068C">
      <w:pPr>
        <w:ind w:left="360"/>
        <w:rPr>
          <w:i/>
          <w:lang w:val="en-US"/>
        </w:rPr>
      </w:pPr>
      <w:r w:rsidRPr="0011307F">
        <w:rPr>
          <w:i/>
          <w:lang w:val="en-US"/>
        </w:rPr>
        <w:t xml:space="preserve">All companies in the Index Universe which have scored 85 or higher on the Human Rights Campaign Foundation Corporate Equality Index as of the Selection Day are selected as final Index Components. </w:t>
      </w:r>
    </w:p>
    <w:p w14:paraId="25E1763D" w14:textId="77777777" w:rsidR="0044068C" w:rsidRPr="0011307F" w:rsidRDefault="0044068C" w:rsidP="0044068C">
      <w:pPr>
        <w:ind w:left="360"/>
        <w:rPr>
          <w:i/>
          <w:lang w:val="en-US"/>
        </w:rPr>
      </w:pPr>
      <w:r w:rsidRPr="0011307F">
        <w:rPr>
          <w:i/>
          <w:lang w:val="en-US"/>
        </w:rPr>
        <w:t xml:space="preserve">If the selection results in a final number of Index Components below 40, additional companies will be selected based on the rules outlined below until a total number of 40 Index Components has been reached: </w:t>
      </w:r>
    </w:p>
    <w:p w14:paraId="5581C9B7" w14:textId="77777777" w:rsidR="0044068C" w:rsidRPr="0011307F" w:rsidRDefault="0044068C" w:rsidP="0044068C">
      <w:pPr>
        <w:ind w:left="708"/>
        <w:rPr>
          <w:i/>
          <w:lang w:val="en-US"/>
        </w:rPr>
      </w:pPr>
      <w:r w:rsidRPr="0011307F">
        <w:rPr>
          <w:i/>
          <w:lang w:val="en-US"/>
        </w:rPr>
        <w:t xml:space="preserve">1. Companies that have been part of the index as of the last rebalancing and are not part of the current selection will be selected based on highest Market Capitalization </w:t>
      </w:r>
    </w:p>
    <w:p w14:paraId="6F245D3A" w14:textId="71EE6774" w:rsidR="0044068C" w:rsidRPr="0011307F" w:rsidRDefault="0044068C" w:rsidP="0044068C">
      <w:pPr>
        <w:ind w:left="708"/>
        <w:rPr>
          <w:i/>
          <w:lang w:val="en-US"/>
        </w:rPr>
      </w:pPr>
      <w:r w:rsidRPr="0011307F">
        <w:rPr>
          <w:i/>
          <w:lang w:val="en-US"/>
        </w:rPr>
        <w:lastRenderedPageBreak/>
        <w:t>2. If the rule above does not result in the required 40 Index Components, additional constituents will be selected from the Index Universe based on highest Market Capitalization</w:t>
      </w:r>
    </w:p>
    <w:p w14:paraId="29C2251F" w14:textId="6234440C" w:rsidR="0044068C" w:rsidRPr="0011307F" w:rsidRDefault="0011307F" w:rsidP="0011307F">
      <w:pPr>
        <w:ind w:left="426"/>
        <w:rPr>
          <w:i/>
          <w:lang w:val="en-US"/>
        </w:rPr>
      </w:pPr>
      <w:r w:rsidRPr="0011307F">
        <w:rPr>
          <w:i/>
          <w:lang w:val="en-US"/>
        </w:rPr>
        <w:t>(B) If this is not the case, Solactive reviews current components only based on the latest available HRC CEI (which might contain revisions, but is not published as a new annual HRC CEI). Any index component scoring lower</w:t>
      </w:r>
      <w:r w:rsidR="00934EF8">
        <w:rPr>
          <w:i/>
          <w:lang w:val="en-US"/>
        </w:rPr>
        <w:t xml:space="preserve"> than 85</w:t>
      </w:r>
      <w:r w:rsidRPr="0011307F">
        <w:rPr>
          <w:i/>
          <w:lang w:val="en-US"/>
        </w:rPr>
        <w:t xml:space="preserve"> on the HRC CEI will be deleted from the index and its weight will be redistributed proportionally across remaining Index Components. Any such change will become effective on the Adjustment Day.</w:t>
      </w:r>
    </w:p>
    <w:p w14:paraId="5F1858E3" w14:textId="0BFCE909" w:rsidR="0011307F" w:rsidRDefault="0011307F" w:rsidP="0011307F">
      <w:pPr>
        <w:pStyle w:val="Listenabsatz"/>
        <w:numPr>
          <w:ilvl w:val="0"/>
          <w:numId w:val="37"/>
        </w:numPr>
        <w:rPr>
          <w:lang w:val="en-US"/>
        </w:rPr>
      </w:pPr>
      <w:r>
        <w:rPr>
          <w:lang w:val="en-US"/>
        </w:rPr>
        <w:t>Section 2</w:t>
      </w:r>
      <w:r w:rsidR="00934EF8">
        <w:rPr>
          <w:lang w:val="en-US"/>
        </w:rPr>
        <w:t>.</w:t>
      </w:r>
      <w:r>
        <w:rPr>
          <w:lang w:val="en-US"/>
        </w:rPr>
        <w:t>2 shall be adjusted from:</w:t>
      </w:r>
    </w:p>
    <w:p w14:paraId="3E7FE70B" w14:textId="77777777" w:rsidR="0011307F" w:rsidRPr="0011307F" w:rsidRDefault="0011307F" w:rsidP="0011307F">
      <w:pPr>
        <w:ind w:left="360"/>
        <w:rPr>
          <w:i/>
          <w:lang w:val="en-US"/>
        </w:rPr>
      </w:pPr>
      <w:r w:rsidRPr="0011307F">
        <w:rPr>
          <w:i/>
          <w:lang w:val="en-US"/>
        </w:rPr>
        <w:t xml:space="preserve">The composition of the Index is adjusted annually in January. The composition of the Index is reviewed on the Selection Day and necessary changes are announced. </w:t>
      </w:r>
    </w:p>
    <w:p w14:paraId="6C29091B" w14:textId="77777777" w:rsidR="0011307F" w:rsidRPr="0011307F" w:rsidRDefault="0011307F" w:rsidP="0011307F">
      <w:pPr>
        <w:ind w:left="360"/>
        <w:rPr>
          <w:i/>
          <w:lang w:val="en-US"/>
        </w:rPr>
      </w:pPr>
      <w:r w:rsidRPr="0011307F">
        <w:rPr>
          <w:i/>
          <w:lang w:val="en-US"/>
        </w:rPr>
        <w:t>The first adjustment will be made in January 2018 based on the Trading Prices of the Index Components on the Adjustment Day.</w:t>
      </w:r>
    </w:p>
    <w:p w14:paraId="746CEA3D" w14:textId="5C2BCE43" w:rsidR="0011307F" w:rsidRPr="0011307F" w:rsidRDefault="0011307F" w:rsidP="0011307F">
      <w:pPr>
        <w:ind w:left="360"/>
        <w:rPr>
          <w:i/>
          <w:lang w:val="en-US"/>
        </w:rPr>
      </w:pPr>
      <w:r w:rsidRPr="0011307F">
        <w:rPr>
          <w:i/>
          <w:lang w:val="en-US"/>
        </w:rPr>
        <w:t xml:space="preserve"> In addition, the composition of the Index will be reviewed on each Ordinary Review Day. Any Index Component scoring </w:t>
      </w:r>
      <w:r w:rsidR="00934EF8">
        <w:rPr>
          <w:i/>
          <w:lang w:val="en-US"/>
        </w:rPr>
        <w:t>lower than 85</w:t>
      </w:r>
      <w:r w:rsidRPr="0011307F">
        <w:rPr>
          <w:i/>
          <w:lang w:val="en-US"/>
        </w:rPr>
        <w:t xml:space="preserve"> on the Human Rights Campaign Foundation Corporate Equality Index as of the Ordinary Review Day will be deleted from the index and its weight will be redistributed proportionally across remaining Index Components. Any such change will become effective on the Ordinary Review Implementation Day.</w:t>
      </w:r>
    </w:p>
    <w:p w14:paraId="2C078468" w14:textId="7D4F4312" w:rsidR="0011307F" w:rsidRDefault="0011307F" w:rsidP="0011307F">
      <w:pPr>
        <w:ind w:firstLine="360"/>
        <w:rPr>
          <w:lang w:val="en-US"/>
        </w:rPr>
      </w:pPr>
      <w:r>
        <w:rPr>
          <w:lang w:val="en-US"/>
        </w:rPr>
        <w:t>to:</w:t>
      </w:r>
    </w:p>
    <w:p w14:paraId="6243E69B" w14:textId="1CDD9806" w:rsidR="0011307F" w:rsidRDefault="0011307F" w:rsidP="0011307F">
      <w:pPr>
        <w:ind w:left="360"/>
        <w:rPr>
          <w:i/>
          <w:lang w:val="en-US"/>
        </w:rPr>
      </w:pPr>
      <w:r w:rsidRPr="0011307F">
        <w:rPr>
          <w:i/>
          <w:lang w:val="en-US"/>
        </w:rPr>
        <w:t xml:space="preserve">The composition of the Index is adjusted </w:t>
      </w:r>
      <w:r>
        <w:rPr>
          <w:i/>
          <w:lang w:val="en-US"/>
        </w:rPr>
        <w:t>on the Adjustment Day</w:t>
      </w:r>
      <w:r w:rsidRPr="0011307F">
        <w:rPr>
          <w:i/>
          <w:lang w:val="en-US"/>
        </w:rPr>
        <w:t xml:space="preserve">. The composition of the Index is reviewed on the </w:t>
      </w:r>
      <w:r>
        <w:rPr>
          <w:i/>
          <w:lang w:val="en-US"/>
        </w:rPr>
        <w:t xml:space="preserve">Ordinary Review Day </w:t>
      </w:r>
      <w:r w:rsidRPr="0011307F">
        <w:rPr>
          <w:i/>
          <w:lang w:val="en-US"/>
        </w:rPr>
        <w:t xml:space="preserve">and necessary changes are announced. </w:t>
      </w:r>
    </w:p>
    <w:p w14:paraId="7C1DD9BF" w14:textId="0713DE20" w:rsidR="0011307F" w:rsidRPr="0011307F" w:rsidRDefault="0011307F" w:rsidP="0011307F">
      <w:pPr>
        <w:ind w:left="360"/>
        <w:rPr>
          <w:i/>
          <w:lang w:val="en-US"/>
        </w:rPr>
      </w:pPr>
      <w:r w:rsidRPr="0011307F">
        <w:rPr>
          <w:i/>
          <w:lang w:val="en-US"/>
        </w:rPr>
        <w:t>The first adjustment will be made in January 2018 based on the Trading Prices of the Index Components on the Adjustment Day.</w:t>
      </w:r>
    </w:p>
    <w:p w14:paraId="64CD09E4" w14:textId="77777777" w:rsidR="0011307F" w:rsidRPr="0011307F" w:rsidRDefault="0011307F" w:rsidP="0011307F">
      <w:pPr>
        <w:ind w:firstLine="360"/>
        <w:rPr>
          <w:lang w:val="en-US"/>
        </w:rPr>
      </w:pPr>
    </w:p>
    <w:p w14:paraId="45154AF2" w14:textId="5E2E42FB" w:rsidR="005055F5" w:rsidRPr="00DA0FE2" w:rsidRDefault="00C04273" w:rsidP="002663E0">
      <w:pPr>
        <w:spacing w:before="0" w:after="160" w:line="259" w:lineRule="auto"/>
        <w:jc w:val="left"/>
        <w:rPr>
          <w:b/>
          <w:lang w:val="en-GB"/>
        </w:rPr>
      </w:pPr>
      <w:r w:rsidRPr="00DA0FE2">
        <w:rPr>
          <w:b/>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CF9A4DA"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223AAA">
        <w:rPr>
          <w:lang w:val="en-US"/>
        </w:rPr>
        <w:t>m</w:t>
      </w:r>
      <w:r w:rsidR="00223AAA" w:rsidRPr="00C04273">
        <w:rPr>
          <w:lang w:val="en-US"/>
        </w:rPr>
        <w:t xml:space="preserve">ethodology </w:t>
      </w:r>
      <w:r w:rsidR="00B04ABF" w:rsidRPr="00C04273">
        <w:rPr>
          <w:lang w:val="en-US"/>
        </w:rPr>
        <w:t xml:space="preserve">for </w:t>
      </w:r>
      <w:r w:rsidR="00591607" w:rsidRPr="00C04273">
        <w:rPr>
          <w:lang w:val="en-US"/>
        </w:rPr>
        <w:t xml:space="preserve">the </w:t>
      </w:r>
      <w:r w:rsidR="00223AAA">
        <w:rPr>
          <w:lang w:val="en-US"/>
        </w:rPr>
        <w:t>a</w:t>
      </w:r>
      <w:r w:rsidR="00223AAA" w:rsidRPr="00A17ECC">
        <w:rPr>
          <w:lang w:val="en-US"/>
        </w:rPr>
        <w:t xml:space="preserve">lignment </w:t>
      </w:r>
      <w:r w:rsidR="00A17ECC" w:rsidRPr="00A17ECC">
        <w:rPr>
          <w:lang w:val="en-US"/>
        </w:rPr>
        <w:t xml:space="preserve">of </w:t>
      </w:r>
      <w:r w:rsidR="00223AAA">
        <w:rPr>
          <w:lang w:val="en-US"/>
        </w:rPr>
        <w:t>the definition of “</w:t>
      </w:r>
      <w:r w:rsidR="00A17ECC" w:rsidRPr="00A17ECC">
        <w:rPr>
          <w:lang w:val="en-US"/>
        </w:rPr>
        <w:t>Adjustment Day</w:t>
      </w:r>
      <w:r w:rsidR="00223AAA">
        <w:rPr>
          <w:lang w:val="en-US"/>
        </w:rPr>
        <w:t>”</w:t>
      </w:r>
      <w:r w:rsidR="00A17ECC" w:rsidRPr="00A17ECC">
        <w:rPr>
          <w:lang w:val="en-US"/>
        </w:rPr>
        <w:t xml:space="preserve"> with </w:t>
      </w:r>
      <w:r w:rsidR="00223AAA">
        <w:rPr>
          <w:lang w:val="en-US"/>
        </w:rPr>
        <w:t xml:space="preserve">the definition of that term used in the index guidelines for the </w:t>
      </w:r>
      <w:r w:rsidR="00A17ECC" w:rsidRPr="00A17ECC">
        <w:rPr>
          <w:lang w:val="en-US"/>
        </w:rPr>
        <w:t>Solactive Global Benchmark Series (GBS)</w:t>
      </w:r>
      <w:r w:rsidR="00A17ECC">
        <w:rPr>
          <w:b/>
          <w:i/>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34EF8" w14:paraId="008B2314" w14:textId="77777777" w:rsidTr="001728F7">
        <w:trPr>
          <w:trHeight w:val="4596"/>
        </w:trPr>
        <w:tc>
          <w:tcPr>
            <w:tcW w:w="10171" w:type="dxa"/>
            <w:shd w:val="clear" w:color="auto" w:fill="auto"/>
          </w:tcPr>
          <w:p w14:paraId="14A7B302" w14:textId="77777777" w:rsidR="005055F5" w:rsidRPr="00DD3C44" w:rsidRDefault="005055F5" w:rsidP="001728F7">
            <w:pPr>
              <w:jc w:val="left"/>
              <w:rPr>
                <w:sz w:val="28"/>
                <w:szCs w:val="28"/>
                <w:u w:val="single"/>
                <w:lang w:val="en-US"/>
              </w:rPr>
            </w:pPr>
          </w:p>
        </w:tc>
      </w:tr>
    </w:tbl>
    <w:p w14:paraId="763D43B8" w14:textId="138D2FEA" w:rsidR="005055F5" w:rsidRPr="0069366D" w:rsidRDefault="005055F5" w:rsidP="005055F5">
      <w:pPr>
        <w:jc w:val="left"/>
        <w:rPr>
          <w:b/>
          <w:sz w:val="28"/>
          <w:szCs w:val="28"/>
          <w:u w:val="single"/>
          <w:lang w:val="en-GB"/>
        </w:rPr>
      </w:pPr>
      <w:r w:rsidRPr="0069366D">
        <w:rPr>
          <w:b/>
          <w:sz w:val="28"/>
          <w:szCs w:val="28"/>
          <w:u w:val="single"/>
          <w:lang w:val="en-GB"/>
        </w:rPr>
        <w:t>Consultation Procedure</w:t>
      </w:r>
    </w:p>
    <w:p w14:paraId="08D8E698" w14:textId="3A409CA5" w:rsidR="005055F5" w:rsidRPr="00C04273"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571D93">
        <w:rPr>
          <w:lang w:val="en-US"/>
        </w:rPr>
        <w:t xml:space="preserve"> </w:t>
      </w:r>
      <w:r w:rsidR="00016BD9" w:rsidRPr="004C330E">
        <w:rPr>
          <w:b/>
          <w:i/>
          <w:lang w:val="en-US"/>
        </w:rPr>
        <w:t>midnight (</w:t>
      </w:r>
      <w:r w:rsidR="00571D93" w:rsidRPr="004C330E">
        <w:rPr>
          <w:b/>
          <w:i/>
          <w:lang w:val="en-US"/>
        </w:rPr>
        <w:t>24:00</w:t>
      </w:r>
      <w:r w:rsidR="00016BD9" w:rsidRPr="004C330E">
        <w:rPr>
          <w:b/>
          <w:i/>
          <w:lang w:val="en-US"/>
        </w:rPr>
        <w:t xml:space="preserve"> CE</w:t>
      </w:r>
      <w:r w:rsidR="00A80EEB" w:rsidRPr="004C330E">
        <w:rPr>
          <w:b/>
          <w:i/>
          <w:lang w:val="en-US"/>
        </w:rPr>
        <w:t>S</w:t>
      </w:r>
      <w:r w:rsidR="00016BD9" w:rsidRPr="004C330E">
        <w:rPr>
          <w:b/>
          <w:i/>
          <w:lang w:val="en-US"/>
        </w:rPr>
        <w:t>T) on</w:t>
      </w:r>
      <w:r w:rsidR="00571D93" w:rsidRPr="004C330E">
        <w:rPr>
          <w:b/>
          <w:i/>
          <w:lang w:val="en-US"/>
        </w:rPr>
        <w:t xml:space="preserve"> </w:t>
      </w:r>
      <w:r w:rsidR="00934EF8">
        <w:rPr>
          <w:b/>
          <w:i/>
          <w:lang w:val="en-US"/>
        </w:rPr>
        <w:t>3 June</w:t>
      </w:r>
      <w:r w:rsidR="00CB1B03">
        <w:rPr>
          <w:b/>
          <w:i/>
          <w:lang w:val="en-US"/>
        </w:rPr>
        <w:t xml:space="preserve"> 2019</w:t>
      </w:r>
      <w:r w:rsidR="00AD789C">
        <w:rPr>
          <w:b/>
          <w:i/>
          <w:lang w:val="en-US"/>
        </w:rPr>
        <w:t xml:space="preserve">. </w:t>
      </w:r>
    </w:p>
    <w:p w14:paraId="04131284" w14:textId="16B89CDB"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Pr="00C04273">
          <w:rPr>
            <w:rStyle w:val="Hyperlink"/>
            <w:rFonts w:eastAsiaTheme="majorEastAsia"/>
            <w:lang w:val="en-US"/>
          </w:rPr>
          <w:t>compliance@solactive.com</w:t>
        </w:r>
      </w:hyperlink>
      <w:r w:rsidRPr="00C04273">
        <w:rPr>
          <w:lang w:val="en-US"/>
        </w:rPr>
        <w:t xml:space="preserve">, specifying </w:t>
      </w:r>
      <w:r w:rsidRPr="00CA0ECF">
        <w:rPr>
          <w:b/>
          <w:i/>
          <w:lang w:val="en-US"/>
        </w:rPr>
        <w:t>“Market Consultation</w:t>
      </w:r>
      <w:r w:rsidR="00DD3C44" w:rsidRPr="00CA0ECF">
        <w:rPr>
          <w:b/>
          <w:i/>
          <w:lang w:val="en-US"/>
        </w:rPr>
        <w:t xml:space="preserve"> </w:t>
      </w:r>
      <w:r w:rsidR="00B716EF" w:rsidRPr="00CA0ECF">
        <w:rPr>
          <w:b/>
          <w:i/>
          <w:lang w:val="en-US"/>
        </w:rPr>
        <w:t xml:space="preserve">Alignment of Adjustment Day </w:t>
      </w:r>
      <w:r w:rsidR="00727050" w:rsidRPr="00CA0ECF">
        <w:rPr>
          <w:b/>
          <w:i/>
          <w:lang w:val="en-US"/>
        </w:rPr>
        <w:t>with</w:t>
      </w:r>
      <w:r w:rsidR="00B716EF" w:rsidRPr="00CA0ECF">
        <w:rPr>
          <w:b/>
          <w:i/>
          <w:lang w:val="en-US"/>
        </w:rPr>
        <w:t xml:space="preserve"> Solactive Global Benchmark Series </w:t>
      </w:r>
      <w:r w:rsidR="002E31C9">
        <w:rPr>
          <w:b/>
          <w:i/>
          <w:lang w:val="en-US"/>
        </w:rPr>
        <w:t>(</w:t>
      </w:r>
      <w:r w:rsidR="004C330E" w:rsidRPr="00CA0ECF">
        <w:rPr>
          <w:b/>
          <w:i/>
          <w:lang w:val="en-US"/>
        </w:rPr>
        <w:t>GBS</w:t>
      </w:r>
      <w:r w:rsidR="002E31C9">
        <w:rPr>
          <w:b/>
          <w:i/>
          <w:lang w:val="en-US"/>
        </w:rPr>
        <w:t>)</w:t>
      </w:r>
      <w:r w:rsidR="00727050" w:rsidRPr="00CA0ECF">
        <w:rPr>
          <w:b/>
          <w:i/>
          <w:sz w:val="22"/>
          <w:szCs w:val="22"/>
          <w:lang w:val="en-US"/>
        </w:rPr>
        <w:t>”</w:t>
      </w:r>
      <w:r w:rsidR="004C330E" w:rsidRPr="004C330E">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7B07FA4E" w14:textId="77777777" w:rsidR="005055F5" w:rsidRPr="00C04273" w:rsidRDefault="005055F5" w:rsidP="005055F5">
      <w:pPr>
        <w:spacing w:after="0"/>
        <w:ind w:left="1416" w:firstLine="708"/>
      </w:pPr>
      <w:r w:rsidRPr="00C04273">
        <w:t>Guiollettstr. 54</w:t>
      </w:r>
    </w:p>
    <w:p w14:paraId="7C1A81A3" w14:textId="77777777" w:rsidR="005055F5" w:rsidRPr="00C04273" w:rsidRDefault="005055F5" w:rsidP="005055F5">
      <w:pPr>
        <w:spacing w:after="0"/>
        <w:ind w:left="1416" w:firstLine="708"/>
      </w:pPr>
      <w:r w:rsidRPr="00C04273">
        <w:t>60325 Frankfurt</w:t>
      </w:r>
    </w:p>
    <w:p w14:paraId="1FEC3B6F" w14:textId="77777777" w:rsidR="005055F5" w:rsidRPr="00C04273" w:rsidRDefault="005055F5" w:rsidP="005055F5">
      <w:pPr>
        <w:spacing w:after="0"/>
        <w:ind w:left="1416" w:firstLine="708"/>
      </w:pPr>
      <w:r w:rsidRPr="00C04273">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934EF8"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1728F7">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1728F7">
            <w:pPr>
              <w:spacing w:after="0"/>
              <w:rPr>
                <w:lang w:val="en-US"/>
              </w:rPr>
            </w:pPr>
          </w:p>
        </w:tc>
      </w:tr>
    </w:tbl>
    <w:p w14:paraId="4414039D" w14:textId="31031953" w:rsidR="00943CAB" w:rsidRDefault="00943CAB">
      <w:pPr>
        <w:spacing w:before="0" w:after="160" w:line="259" w:lineRule="auto"/>
        <w:jc w:val="left"/>
        <w:rPr>
          <w:lang w:val="en-GB"/>
        </w:rPr>
      </w:pPr>
      <w:r>
        <w:rPr>
          <w:lang w:val="en-GB"/>
        </w:rPr>
        <w:br w:type="page"/>
      </w:r>
    </w:p>
    <w:p w14:paraId="5EEF6043" w14:textId="77777777"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berschrift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Guiollettstr.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berschrift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Guiollettstr.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7"/>
      <w:footerReference w:type="defaul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4C7B3" w14:textId="77777777" w:rsidR="00712F9C" w:rsidRDefault="00712F9C" w:rsidP="002E70FC">
      <w:pPr>
        <w:spacing w:before="0" w:after="0"/>
      </w:pPr>
      <w:r>
        <w:separator/>
      </w:r>
    </w:p>
  </w:endnote>
  <w:endnote w:type="continuationSeparator" w:id="0">
    <w:p w14:paraId="60AD4FC4" w14:textId="77777777" w:rsidR="00712F9C" w:rsidRDefault="00712F9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9C6E1BDC-B89C-4BEC-98A1-D69F1B1716F3}"/>
    <w:embedBold r:id="rId2" w:fontKey="{68540E32-B02E-4849-981E-CC615A1E4D6F}"/>
    <w:embedItalic r:id="rId3" w:fontKey="{3AF4EE43-83F2-4D16-8017-7BBA98EE22C0}"/>
    <w:embedBoldItalic r:id="rId4" w:fontKey="{3BF0DCE0-55CB-4888-8D11-5663A62DD1EC}"/>
  </w:font>
  <w:font w:name="Calibri">
    <w:panose1 w:val="020F0502020204030204"/>
    <w:charset w:val="00"/>
    <w:family w:val="swiss"/>
    <w:pitch w:val="variable"/>
    <w:sig w:usb0="E0002AFF" w:usb1="C000247B" w:usb2="00000009" w:usb3="00000000" w:csb0="000001FF" w:csb1="00000000"/>
    <w:embedRegular r:id="rId5" w:fontKey="{AE3FA832-C255-44A2-94DE-1FE71F1DF540}"/>
  </w:font>
  <w:font w:name="Segoe UI">
    <w:panose1 w:val="020B0502040204020203"/>
    <w:charset w:val="00"/>
    <w:family w:val="swiss"/>
    <w:pitch w:val="variable"/>
    <w:sig w:usb0="E4002EFF" w:usb1="C000E47F" w:usb2="00000009" w:usb3="00000000" w:csb0="000001FF" w:csb1="00000000"/>
    <w:embedRegular r:id="rId6" w:fontKey="{095643FC-ADA2-43D0-9497-2B9FF4AB632F}"/>
  </w:font>
  <w:font w:name="Flama Semicondensed Medium">
    <w:panose1 w:val="02000000000000000000"/>
    <w:charset w:val="00"/>
    <w:family w:val="auto"/>
    <w:pitch w:val="variable"/>
    <w:sig w:usb0="A00000AF" w:usb1="4000207B" w:usb2="00000000" w:usb3="00000000" w:csb0="0000008B" w:csb1="00000000"/>
    <w:embedRegular r:id="rId7" w:fontKey="{18961955-0D23-46E1-82AC-95C6C4F8065D}"/>
    <w:embedBold r:id="rId8" w:fontKey="{2D47E756-094B-48D1-B8E8-54FFBF411D5E}"/>
  </w:font>
  <w:font w:name="Calibri Light">
    <w:panose1 w:val="020F0302020204030204"/>
    <w:charset w:val="00"/>
    <w:family w:val="swiss"/>
    <w:pitch w:val="variable"/>
    <w:sig w:usb0="E0002AFF" w:usb1="C000247B" w:usb2="00000009" w:usb3="00000000" w:csb0="000001FF" w:csb1="00000000"/>
    <w:embedRegular r:id="rId9" w:fontKey="{0A320F38-7744-434E-8B04-6D6106EA98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uzeile"/>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uzeile"/>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3EFBD" w14:textId="77777777" w:rsidR="00712F9C" w:rsidRDefault="00712F9C" w:rsidP="002E70FC">
      <w:pPr>
        <w:spacing w:before="0" w:after="0"/>
      </w:pPr>
      <w:r>
        <w:separator/>
      </w:r>
    </w:p>
  </w:footnote>
  <w:footnote w:type="continuationSeparator" w:id="0">
    <w:p w14:paraId="332599DD" w14:textId="77777777" w:rsidR="00712F9C" w:rsidRDefault="00712F9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06A9D5C" w:rsidR="00110CA0" w:rsidRPr="00E06A59" w:rsidRDefault="00E530BC" w:rsidP="00960D2A">
    <w:pPr>
      <w:pStyle w:val="Kopfzeile"/>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34EF8">
          <w:rPr>
            <w:lang w:val="en-US"/>
          </w:rPr>
          <w:t>Market Consultation on the Methodology Change of UBS LGBT Employment Equality Index</w:t>
        </w:r>
      </w:sdtContent>
    </w:sdt>
    <w:r w:rsidR="00110CA0"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9pt;height:19.9pt" o:bullet="t">
        <v:imagedata r:id="rId1" o:title="S_Icons-Haken_02"/>
      </v:shape>
    </w:pict>
  </w:numPicBullet>
  <w:numPicBullet w:numPicBulletId="1">
    <w:pict>
      <v:shape id="_x0000_i1031" type="#_x0000_t75" style="width:19.9pt;height:19.9pt" o:bullet="t">
        <v:imagedata r:id="rId2" o:title="S_Icons-Pfeil_02"/>
      </v:shape>
    </w:pict>
  </w:numPicBullet>
  <w:numPicBullet w:numPicBulletId="2">
    <w:pict>
      <v:shape id="_x0000_i1032" type="#_x0000_t75" style="width:15.35pt;height:15.85pt" o:bullet="t">
        <v:imagedata r:id="rId3" o:title="Bullet_2_Indices_Small"/>
      </v:shape>
    </w:pict>
  </w:numPicBullet>
  <w:numPicBullet w:numPicBulletId="3">
    <w:pict>
      <v:shape id="_x0000_i103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2130D8"/>
    <w:multiLevelType w:val="multilevel"/>
    <w:tmpl w:val="95763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A02F16"/>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91620"/>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A21435"/>
    <w:multiLevelType w:val="multilevel"/>
    <w:tmpl w:val="957636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F460C6"/>
    <w:multiLevelType w:val="hybridMultilevel"/>
    <w:tmpl w:val="8A4C0548"/>
    <w:lvl w:ilvl="0" w:tplc="81FAEBA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01C3AEE"/>
    <w:multiLevelType w:val="hybridMultilevel"/>
    <w:tmpl w:val="0AE201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714362"/>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F5B0F2F"/>
    <w:multiLevelType w:val="hybridMultilevel"/>
    <w:tmpl w:val="201069BA"/>
    <w:lvl w:ilvl="0" w:tplc="67BC005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44234AA"/>
    <w:multiLevelType w:val="hybridMultilevel"/>
    <w:tmpl w:val="F6D4C2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4F513F5"/>
    <w:multiLevelType w:val="hybridMultilevel"/>
    <w:tmpl w:val="8A4C0548"/>
    <w:lvl w:ilvl="0" w:tplc="81FAEBA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9F1454A"/>
    <w:multiLevelType w:val="hybridMultilevel"/>
    <w:tmpl w:val="F6D4C2B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F6A417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DB6EC7"/>
    <w:multiLevelType w:val="hybridMultilevel"/>
    <w:tmpl w:val="3A8C681C"/>
    <w:lvl w:ilvl="0" w:tplc="0407000F">
      <w:start w:val="1"/>
      <w:numFmt w:val="decimal"/>
      <w:lvlText w:val="%1."/>
      <w:lvlJc w:val="left"/>
      <w:pPr>
        <w:ind w:left="765" w:hanging="360"/>
      </w:pPr>
    </w:lvl>
    <w:lvl w:ilvl="1" w:tplc="04070019" w:tentative="1">
      <w:start w:val="1"/>
      <w:numFmt w:val="lowerLetter"/>
      <w:lvlText w:val="%2."/>
      <w:lvlJc w:val="left"/>
      <w:pPr>
        <w:ind w:left="1485" w:hanging="360"/>
      </w:pPr>
    </w:lvl>
    <w:lvl w:ilvl="2" w:tplc="0407001B" w:tentative="1">
      <w:start w:val="1"/>
      <w:numFmt w:val="lowerRoman"/>
      <w:lvlText w:val="%3."/>
      <w:lvlJc w:val="right"/>
      <w:pPr>
        <w:ind w:left="2205" w:hanging="180"/>
      </w:pPr>
    </w:lvl>
    <w:lvl w:ilvl="3" w:tplc="0407000F" w:tentative="1">
      <w:start w:val="1"/>
      <w:numFmt w:val="decimal"/>
      <w:lvlText w:val="%4."/>
      <w:lvlJc w:val="left"/>
      <w:pPr>
        <w:ind w:left="2925" w:hanging="360"/>
      </w:pPr>
    </w:lvl>
    <w:lvl w:ilvl="4" w:tplc="04070019" w:tentative="1">
      <w:start w:val="1"/>
      <w:numFmt w:val="lowerLetter"/>
      <w:lvlText w:val="%5."/>
      <w:lvlJc w:val="left"/>
      <w:pPr>
        <w:ind w:left="3645" w:hanging="360"/>
      </w:pPr>
    </w:lvl>
    <w:lvl w:ilvl="5" w:tplc="0407001B" w:tentative="1">
      <w:start w:val="1"/>
      <w:numFmt w:val="lowerRoman"/>
      <w:lvlText w:val="%6."/>
      <w:lvlJc w:val="right"/>
      <w:pPr>
        <w:ind w:left="4365" w:hanging="180"/>
      </w:pPr>
    </w:lvl>
    <w:lvl w:ilvl="6" w:tplc="0407000F" w:tentative="1">
      <w:start w:val="1"/>
      <w:numFmt w:val="decimal"/>
      <w:lvlText w:val="%7."/>
      <w:lvlJc w:val="left"/>
      <w:pPr>
        <w:ind w:left="5085" w:hanging="360"/>
      </w:pPr>
    </w:lvl>
    <w:lvl w:ilvl="7" w:tplc="04070019" w:tentative="1">
      <w:start w:val="1"/>
      <w:numFmt w:val="lowerLetter"/>
      <w:lvlText w:val="%8."/>
      <w:lvlJc w:val="left"/>
      <w:pPr>
        <w:ind w:left="5805" w:hanging="360"/>
      </w:pPr>
    </w:lvl>
    <w:lvl w:ilvl="8" w:tplc="0407001B" w:tentative="1">
      <w:start w:val="1"/>
      <w:numFmt w:val="lowerRoman"/>
      <w:lvlText w:val="%9."/>
      <w:lvlJc w:val="right"/>
      <w:pPr>
        <w:ind w:left="6525" w:hanging="180"/>
      </w:pPr>
    </w:lvl>
  </w:abstractNum>
  <w:abstractNum w:abstractNumId="19" w15:restartNumberingAfterBreak="0">
    <w:nsid w:val="34C22F81"/>
    <w:multiLevelType w:val="hybridMultilevel"/>
    <w:tmpl w:val="64B84F66"/>
    <w:lvl w:ilvl="0" w:tplc="39DAACB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242986"/>
    <w:multiLevelType w:val="hybridMultilevel"/>
    <w:tmpl w:val="6DB05A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81398"/>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FA71EF9"/>
    <w:multiLevelType w:val="hybridMultilevel"/>
    <w:tmpl w:val="6088CA32"/>
    <w:lvl w:ilvl="0" w:tplc="C6AAEB5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FE9119D"/>
    <w:multiLevelType w:val="hybridMultilevel"/>
    <w:tmpl w:val="ABEE56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40018B"/>
    <w:multiLevelType w:val="hybridMultilevel"/>
    <w:tmpl w:val="C47EA6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4D601E0C"/>
    <w:multiLevelType w:val="hybridMultilevel"/>
    <w:tmpl w:val="B7A0217C"/>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4DD11956"/>
    <w:multiLevelType w:val="hybridMultilevel"/>
    <w:tmpl w:val="19D6A9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6787C3B"/>
    <w:multiLevelType w:val="hybridMultilevel"/>
    <w:tmpl w:val="BD2230E4"/>
    <w:lvl w:ilvl="0" w:tplc="04441DE2">
      <w:start w:val="1"/>
      <w:numFmt w:val="decimal"/>
      <w:lvlText w:val="%1."/>
      <w:lvlJc w:val="left"/>
      <w:pPr>
        <w:ind w:left="720" w:hanging="360"/>
      </w:pPr>
      <w:rPr>
        <w:rFonts w:ascii="Flama Semicondensed Light" w:hAnsi="Flama Semicondensed Light"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3B60CAA"/>
    <w:multiLevelType w:val="hybridMultilevel"/>
    <w:tmpl w:val="C9AC4308"/>
    <w:lvl w:ilvl="0" w:tplc="A98019B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84B56"/>
    <w:multiLevelType w:val="hybridMultilevel"/>
    <w:tmpl w:val="AF26F4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C44027C"/>
    <w:multiLevelType w:val="hybridMultilevel"/>
    <w:tmpl w:val="2C90F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0"/>
  </w:num>
  <w:num w:numId="3">
    <w:abstractNumId w:val="37"/>
  </w:num>
  <w:num w:numId="4">
    <w:abstractNumId w:val="44"/>
  </w:num>
  <w:num w:numId="5">
    <w:abstractNumId w:val="36"/>
  </w:num>
  <w:num w:numId="6">
    <w:abstractNumId w:val="22"/>
  </w:num>
  <w:num w:numId="7">
    <w:abstractNumId w:val="41"/>
  </w:num>
  <w:num w:numId="8">
    <w:abstractNumId w:val="8"/>
  </w:num>
  <w:num w:numId="9">
    <w:abstractNumId w:val="30"/>
  </w:num>
  <w:num w:numId="10">
    <w:abstractNumId w:val="29"/>
  </w:num>
  <w:num w:numId="11">
    <w:abstractNumId w:val="5"/>
  </w:num>
  <w:num w:numId="12">
    <w:abstractNumId w:val="3"/>
  </w:num>
  <w:num w:numId="13">
    <w:abstractNumId w:val="34"/>
  </w:num>
  <w:num w:numId="14">
    <w:abstractNumId w:val="25"/>
  </w:num>
  <w:num w:numId="15">
    <w:abstractNumId w:val="10"/>
  </w:num>
  <w:num w:numId="16">
    <w:abstractNumId w:val="26"/>
  </w:num>
  <w:num w:numId="17">
    <w:abstractNumId w:val="45"/>
  </w:num>
  <w:num w:numId="18">
    <w:abstractNumId w:val="23"/>
  </w:num>
  <w:num w:numId="19">
    <w:abstractNumId w:val="38"/>
  </w:num>
  <w:num w:numId="20">
    <w:abstractNumId w:val="40"/>
  </w:num>
  <w:num w:numId="21">
    <w:abstractNumId w:val="0"/>
  </w:num>
  <w:num w:numId="22">
    <w:abstractNumId w:val="35"/>
  </w:num>
  <w:num w:numId="23">
    <w:abstractNumId w:val="11"/>
  </w:num>
  <w:num w:numId="24">
    <w:abstractNumId w:val="1"/>
  </w:num>
  <w:num w:numId="25">
    <w:abstractNumId w:val="17"/>
  </w:num>
  <w:num w:numId="26">
    <w:abstractNumId w:val="2"/>
  </w:num>
  <w:num w:numId="27">
    <w:abstractNumId w:val="24"/>
  </w:num>
  <w:num w:numId="28">
    <w:abstractNumId w:val="33"/>
  </w:num>
  <w:num w:numId="29">
    <w:abstractNumId w:val="4"/>
  </w:num>
  <w:num w:numId="30">
    <w:abstractNumId w:val="32"/>
  </w:num>
  <w:num w:numId="31">
    <w:abstractNumId w:val="19"/>
  </w:num>
  <w:num w:numId="32">
    <w:abstractNumId w:val="21"/>
  </w:num>
  <w:num w:numId="33">
    <w:abstractNumId w:val="6"/>
  </w:num>
  <w:num w:numId="34">
    <w:abstractNumId w:val="31"/>
  </w:num>
  <w:num w:numId="35">
    <w:abstractNumId w:val="14"/>
  </w:num>
  <w:num w:numId="36">
    <w:abstractNumId w:val="16"/>
  </w:num>
  <w:num w:numId="37">
    <w:abstractNumId w:val="43"/>
  </w:num>
  <w:num w:numId="38">
    <w:abstractNumId w:val="28"/>
  </w:num>
  <w:num w:numId="39">
    <w:abstractNumId w:val="18"/>
  </w:num>
  <w:num w:numId="40">
    <w:abstractNumId w:val="42"/>
  </w:num>
  <w:num w:numId="41">
    <w:abstractNumId w:val="7"/>
  </w:num>
  <w:num w:numId="42">
    <w:abstractNumId w:val="15"/>
  </w:num>
  <w:num w:numId="43">
    <w:abstractNumId w:val="13"/>
  </w:num>
  <w:num w:numId="44">
    <w:abstractNumId w:val="27"/>
  </w:num>
  <w:num w:numId="45">
    <w:abstractNumId w:val="39"/>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182"/>
    <w:rsid w:val="00015D9F"/>
    <w:rsid w:val="00016545"/>
    <w:rsid w:val="00016BD9"/>
    <w:rsid w:val="00016E7A"/>
    <w:rsid w:val="00021696"/>
    <w:rsid w:val="0003022E"/>
    <w:rsid w:val="000307D7"/>
    <w:rsid w:val="00032589"/>
    <w:rsid w:val="00034DAA"/>
    <w:rsid w:val="00035B49"/>
    <w:rsid w:val="0003699C"/>
    <w:rsid w:val="0003727E"/>
    <w:rsid w:val="00045723"/>
    <w:rsid w:val="00050A4F"/>
    <w:rsid w:val="00053FDB"/>
    <w:rsid w:val="00057966"/>
    <w:rsid w:val="00066898"/>
    <w:rsid w:val="00072BF9"/>
    <w:rsid w:val="00077C61"/>
    <w:rsid w:val="00080F81"/>
    <w:rsid w:val="000849B9"/>
    <w:rsid w:val="000852F2"/>
    <w:rsid w:val="00085BB3"/>
    <w:rsid w:val="00087194"/>
    <w:rsid w:val="00087BAF"/>
    <w:rsid w:val="000916F7"/>
    <w:rsid w:val="00092BB7"/>
    <w:rsid w:val="000A661B"/>
    <w:rsid w:val="000A7946"/>
    <w:rsid w:val="000B461C"/>
    <w:rsid w:val="000C0EBA"/>
    <w:rsid w:val="000C2AA6"/>
    <w:rsid w:val="000C5F8E"/>
    <w:rsid w:val="000D0FF1"/>
    <w:rsid w:val="000D34E5"/>
    <w:rsid w:val="000E3629"/>
    <w:rsid w:val="000E3D03"/>
    <w:rsid w:val="000F3DF3"/>
    <w:rsid w:val="00110CA0"/>
    <w:rsid w:val="0011307F"/>
    <w:rsid w:val="00113086"/>
    <w:rsid w:val="00123CB9"/>
    <w:rsid w:val="00124B71"/>
    <w:rsid w:val="00124DF3"/>
    <w:rsid w:val="00133435"/>
    <w:rsid w:val="00135E34"/>
    <w:rsid w:val="001504BF"/>
    <w:rsid w:val="00185395"/>
    <w:rsid w:val="001913FD"/>
    <w:rsid w:val="00192032"/>
    <w:rsid w:val="0019287D"/>
    <w:rsid w:val="00196409"/>
    <w:rsid w:val="00196791"/>
    <w:rsid w:val="001B0AE9"/>
    <w:rsid w:val="001C7018"/>
    <w:rsid w:val="001D0ECC"/>
    <w:rsid w:val="001D6895"/>
    <w:rsid w:val="001E7A70"/>
    <w:rsid w:val="001E7BCA"/>
    <w:rsid w:val="001F1AAE"/>
    <w:rsid w:val="001F7F10"/>
    <w:rsid w:val="0020433F"/>
    <w:rsid w:val="002127D7"/>
    <w:rsid w:val="00216B32"/>
    <w:rsid w:val="00223AAA"/>
    <w:rsid w:val="00224D03"/>
    <w:rsid w:val="00226816"/>
    <w:rsid w:val="002370C6"/>
    <w:rsid w:val="00252BDE"/>
    <w:rsid w:val="00252DAF"/>
    <w:rsid w:val="00262D28"/>
    <w:rsid w:val="0026500B"/>
    <w:rsid w:val="00265B34"/>
    <w:rsid w:val="002663E0"/>
    <w:rsid w:val="00275124"/>
    <w:rsid w:val="00277D7B"/>
    <w:rsid w:val="0028575D"/>
    <w:rsid w:val="00285F68"/>
    <w:rsid w:val="00291586"/>
    <w:rsid w:val="0029232A"/>
    <w:rsid w:val="002A32BB"/>
    <w:rsid w:val="002B7A64"/>
    <w:rsid w:val="002C0C0A"/>
    <w:rsid w:val="002C3DF7"/>
    <w:rsid w:val="002C65A0"/>
    <w:rsid w:val="002C7968"/>
    <w:rsid w:val="002E31C9"/>
    <w:rsid w:val="002E70FC"/>
    <w:rsid w:val="003012BC"/>
    <w:rsid w:val="003058AD"/>
    <w:rsid w:val="00305A0D"/>
    <w:rsid w:val="00307134"/>
    <w:rsid w:val="003135D2"/>
    <w:rsid w:val="00316A3E"/>
    <w:rsid w:val="00334438"/>
    <w:rsid w:val="003405E8"/>
    <w:rsid w:val="00344407"/>
    <w:rsid w:val="0034475A"/>
    <w:rsid w:val="0035397E"/>
    <w:rsid w:val="00356F39"/>
    <w:rsid w:val="00366769"/>
    <w:rsid w:val="0037436A"/>
    <w:rsid w:val="003801FE"/>
    <w:rsid w:val="00381C00"/>
    <w:rsid w:val="00383C13"/>
    <w:rsid w:val="003841D2"/>
    <w:rsid w:val="00393783"/>
    <w:rsid w:val="00395582"/>
    <w:rsid w:val="00396F00"/>
    <w:rsid w:val="003B50BB"/>
    <w:rsid w:val="003B7FDA"/>
    <w:rsid w:val="003C16C2"/>
    <w:rsid w:val="003C5B49"/>
    <w:rsid w:val="003D0F21"/>
    <w:rsid w:val="003D4990"/>
    <w:rsid w:val="003E3204"/>
    <w:rsid w:val="003F15A2"/>
    <w:rsid w:val="0040784E"/>
    <w:rsid w:val="00414A7C"/>
    <w:rsid w:val="00415E6F"/>
    <w:rsid w:val="00417638"/>
    <w:rsid w:val="00420C1C"/>
    <w:rsid w:val="0043684B"/>
    <w:rsid w:val="0044068C"/>
    <w:rsid w:val="0044591A"/>
    <w:rsid w:val="004466B8"/>
    <w:rsid w:val="00446E9D"/>
    <w:rsid w:val="00447C88"/>
    <w:rsid w:val="00447DC5"/>
    <w:rsid w:val="004538B8"/>
    <w:rsid w:val="00456B65"/>
    <w:rsid w:val="00461F41"/>
    <w:rsid w:val="00471895"/>
    <w:rsid w:val="0047340C"/>
    <w:rsid w:val="00475079"/>
    <w:rsid w:val="00490CA4"/>
    <w:rsid w:val="004B4769"/>
    <w:rsid w:val="004B481A"/>
    <w:rsid w:val="004B6674"/>
    <w:rsid w:val="004B6903"/>
    <w:rsid w:val="004C2B70"/>
    <w:rsid w:val="004C330E"/>
    <w:rsid w:val="004C688A"/>
    <w:rsid w:val="004D16D5"/>
    <w:rsid w:val="004D6EBA"/>
    <w:rsid w:val="005004F3"/>
    <w:rsid w:val="00500D79"/>
    <w:rsid w:val="00503AAC"/>
    <w:rsid w:val="005055F5"/>
    <w:rsid w:val="00507DB2"/>
    <w:rsid w:val="00515E2F"/>
    <w:rsid w:val="00532F22"/>
    <w:rsid w:val="00534514"/>
    <w:rsid w:val="005457DD"/>
    <w:rsid w:val="005577BD"/>
    <w:rsid w:val="00571D93"/>
    <w:rsid w:val="00572562"/>
    <w:rsid w:val="0057464B"/>
    <w:rsid w:val="005818C8"/>
    <w:rsid w:val="00586AD3"/>
    <w:rsid w:val="00591607"/>
    <w:rsid w:val="00592EE3"/>
    <w:rsid w:val="005A0019"/>
    <w:rsid w:val="005A0058"/>
    <w:rsid w:val="005A2BE7"/>
    <w:rsid w:val="005A6736"/>
    <w:rsid w:val="005B5236"/>
    <w:rsid w:val="005C08AA"/>
    <w:rsid w:val="005C210C"/>
    <w:rsid w:val="005C5410"/>
    <w:rsid w:val="005E2B50"/>
    <w:rsid w:val="005E61B4"/>
    <w:rsid w:val="005E7D0E"/>
    <w:rsid w:val="006029B4"/>
    <w:rsid w:val="00621EE1"/>
    <w:rsid w:val="00626C9C"/>
    <w:rsid w:val="0063017D"/>
    <w:rsid w:val="00631951"/>
    <w:rsid w:val="00632135"/>
    <w:rsid w:val="0063592D"/>
    <w:rsid w:val="00643FFF"/>
    <w:rsid w:val="00650433"/>
    <w:rsid w:val="00652C03"/>
    <w:rsid w:val="00656E53"/>
    <w:rsid w:val="0065775A"/>
    <w:rsid w:val="00663B0A"/>
    <w:rsid w:val="006679F0"/>
    <w:rsid w:val="00671150"/>
    <w:rsid w:val="006816B2"/>
    <w:rsid w:val="00687F0D"/>
    <w:rsid w:val="0069329B"/>
    <w:rsid w:val="0069366D"/>
    <w:rsid w:val="00694010"/>
    <w:rsid w:val="006954CA"/>
    <w:rsid w:val="00695AA0"/>
    <w:rsid w:val="006A0793"/>
    <w:rsid w:val="006A15A5"/>
    <w:rsid w:val="006B3BC7"/>
    <w:rsid w:val="006C2A33"/>
    <w:rsid w:val="006C3534"/>
    <w:rsid w:val="006C5EE2"/>
    <w:rsid w:val="006D0F70"/>
    <w:rsid w:val="006D163F"/>
    <w:rsid w:val="006E0DEB"/>
    <w:rsid w:val="006E64B5"/>
    <w:rsid w:val="006F11E8"/>
    <w:rsid w:val="006F1D5D"/>
    <w:rsid w:val="006F54CB"/>
    <w:rsid w:val="00712F9C"/>
    <w:rsid w:val="00727050"/>
    <w:rsid w:val="007357DE"/>
    <w:rsid w:val="00736C70"/>
    <w:rsid w:val="007372FA"/>
    <w:rsid w:val="00746268"/>
    <w:rsid w:val="00750A5D"/>
    <w:rsid w:val="00753112"/>
    <w:rsid w:val="007642AC"/>
    <w:rsid w:val="00770E36"/>
    <w:rsid w:val="007810B4"/>
    <w:rsid w:val="007822BB"/>
    <w:rsid w:val="0078490A"/>
    <w:rsid w:val="007870A9"/>
    <w:rsid w:val="007913A0"/>
    <w:rsid w:val="007B0DB2"/>
    <w:rsid w:val="007C263C"/>
    <w:rsid w:val="007C26BC"/>
    <w:rsid w:val="007C35E6"/>
    <w:rsid w:val="007D1364"/>
    <w:rsid w:val="007D2A93"/>
    <w:rsid w:val="007D4AB3"/>
    <w:rsid w:val="007E035C"/>
    <w:rsid w:val="007E0ACA"/>
    <w:rsid w:val="007E5668"/>
    <w:rsid w:val="00803EE8"/>
    <w:rsid w:val="00810B5C"/>
    <w:rsid w:val="00823F62"/>
    <w:rsid w:val="008345B7"/>
    <w:rsid w:val="00851638"/>
    <w:rsid w:val="00852511"/>
    <w:rsid w:val="00866BAA"/>
    <w:rsid w:val="00875EDB"/>
    <w:rsid w:val="00880689"/>
    <w:rsid w:val="0089032B"/>
    <w:rsid w:val="00895A4B"/>
    <w:rsid w:val="008A06B6"/>
    <w:rsid w:val="008A6AA1"/>
    <w:rsid w:val="008B3505"/>
    <w:rsid w:val="008C3106"/>
    <w:rsid w:val="008C5730"/>
    <w:rsid w:val="008C6361"/>
    <w:rsid w:val="008D19A9"/>
    <w:rsid w:val="008D32E3"/>
    <w:rsid w:val="008D7A68"/>
    <w:rsid w:val="008E0EE0"/>
    <w:rsid w:val="008E4BEE"/>
    <w:rsid w:val="008F4188"/>
    <w:rsid w:val="009133CD"/>
    <w:rsid w:val="0092193A"/>
    <w:rsid w:val="009224D5"/>
    <w:rsid w:val="00927618"/>
    <w:rsid w:val="0093363F"/>
    <w:rsid w:val="00934EF8"/>
    <w:rsid w:val="009369D6"/>
    <w:rsid w:val="00943CAB"/>
    <w:rsid w:val="00960D2A"/>
    <w:rsid w:val="00970C26"/>
    <w:rsid w:val="0097651D"/>
    <w:rsid w:val="00983D90"/>
    <w:rsid w:val="009A27F6"/>
    <w:rsid w:val="009A4F6D"/>
    <w:rsid w:val="009B006E"/>
    <w:rsid w:val="009B1A56"/>
    <w:rsid w:val="009B24E8"/>
    <w:rsid w:val="009B37E3"/>
    <w:rsid w:val="009B45ED"/>
    <w:rsid w:val="009C5F0F"/>
    <w:rsid w:val="009C62E7"/>
    <w:rsid w:val="009D2EF7"/>
    <w:rsid w:val="009F51A9"/>
    <w:rsid w:val="009F7FC7"/>
    <w:rsid w:val="00A07D95"/>
    <w:rsid w:val="00A17ECC"/>
    <w:rsid w:val="00A2430F"/>
    <w:rsid w:val="00A255BA"/>
    <w:rsid w:val="00A2690F"/>
    <w:rsid w:val="00A3249E"/>
    <w:rsid w:val="00A3779F"/>
    <w:rsid w:val="00A41317"/>
    <w:rsid w:val="00A413D8"/>
    <w:rsid w:val="00A43390"/>
    <w:rsid w:val="00A653CD"/>
    <w:rsid w:val="00A65C78"/>
    <w:rsid w:val="00A74BB3"/>
    <w:rsid w:val="00A80EEB"/>
    <w:rsid w:val="00A94468"/>
    <w:rsid w:val="00AB3DB9"/>
    <w:rsid w:val="00AC0BF4"/>
    <w:rsid w:val="00AD1AED"/>
    <w:rsid w:val="00AD789C"/>
    <w:rsid w:val="00AF46AF"/>
    <w:rsid w:val="00B04ABF"/>
    <w:rsid w:val="00B1629F"/>
    <w:rsid w:val="00B210BC"/>
    <w:rsid w:val="00B22392"/>
    <w:rsid w:val="00B302B4"/>
    <w:rsid w:val="00B4681A"/>
    <w:rsid w:val="00B57F9B"/>
    <w:rsid w:val="00B6012C"/>
    <w:rsid w:val="00B61371"/>
    <w:rsid w:val="00B716EF"/>
    <w:rsid w:val="00B915B6"/>
    <w:rsid w:val="00BA23D9"/>
    <w:rsid w:val="00BA3FA5"/>
    <w:rsid w:val="00BB1CFA"/>
    <w:rsid w:val="00BB7BCB"/>
    <w:rsid w:val="00BC5C30"/>
    <w:rsid w:val="00BD03BA"/>
    <w:rsid w:val="00BD1B90"/>
    <w:rsid w:val="00BD4042"/>
    <w:rsid w:val="00BE4EDD"/>
    <w:rsid w:val="00C0189C"/>
    <w:rsid w:val="00C03D31"/>
    <w:rsid w:val="00C04273"/>
    <w:rsid w:val="00C22CA0"/>
    <w:rsid w:val="00C24716"/>
    <w:rsid w:val="00C30238"/>
    <w:rsid w:val="00C46BAB"/>
    <w:rsid w:val="00C4722A"/>
    <w:rsid w:val="00C676D8"/>
    <w:rsid w:val="00C750BC"/>
    <w:rsid w:val="00C77505"/>
    <w:rsid w:val="00C927AF"/>
    <w:rsid w:val="00C93C3C"/>
    <w:rsid w:val="00C94C50"/>
    <w:rsid w:val="00CA0ECF"/>
    <w:rsid w:val="00CA595E"/>
    <w:rsid w:val="00CB1B03"/>
    <w:rsid w:val="00CC4A71"/>
    <w:rsid w:val="00CD41EB"/>
    <w:rsid w:val="00CD7B75"/>
    <w:rsid w:val="00CF29CC"/>
    <w:rsid w:val="00D0251C"/>
    <w:rsid w:val="00D06800"/>
    <w:rsid w:val="00D06D8B"/>
    <w:rsid w:val="00D0711D"/>
    <w:rsid w:val="00D30535"/>
    <w:rsid w:val="00D55031"/>
    <w:rsid w:val="00D620C6"/>
    <w:rsid w:val="00D658C5"/>
    <w:rsid w:val="00D72633"/>
    <w:rsid w:val="00D76406"/>
    <w:rsid w:val="00D87CA8"/>
    <w:rsid w:val="00D916A7"/>
    <w:rsid w:val="00D9404B"/>
    <w:rsid w:val="00D9688B"/>
    <w:rsid w:val="00DA0FE2"/>
    <w:rsid w:val="00DA2F85"/>
    <w:rsid w:val="00DA3CF4"/>
    <w:rsid w:val="00DA6C9C"/>
    <w:rsid w:val="00DA7707"/>
    <w:rsid w:val="00DB22A8"/>
    <w:rsid w:val="00DB29BB"/>
    <w:rsid w:val="00DB7CE4"/>
    <w:rsid w:val="00DC4F24"/>
    <w:rsid w:val="00DC7C75"/>
    <w:rsid w:val="00DD3C44"/>
    <w:rsid w:val="00DE21FE"/>
    <w:rsid w:val="00DE29BE"/>
    <w:rsid w:val="00DE7F6A"/>
    <w:rsid w:val="00DF306F"/>
    <w:rsid w:val="00E06A59"/>
    <w:rsid w:val="00E072E6"/>
    <w:rsid w:val="00E1559F"/>
    <w:rsid w:val="00E22C03"/>
    <w:rsid w:val="00E35FA1"/>
    <w:rsid w:val="00E43678"/>
    <w:rsid w:val="00E474F0"/>
    <w:rsid w:val="00E530BC"/>
    <w:rsid w:val="00E55AA7"/>
    <w:rsid w:val="00E738F4"/>
    <w:rsid w:val="00E750D7"/>
    <w:rsid w:val="00E75C53"/>
    <w:rsid w:val="00E800B1"/>
    <w:rsid w:val="00E84B8A"/>
    <w:rsid w:val="00E85D18"/>
    <w:rsid w:val="00E9274E"/>
    <w:rsid w:val="00EA23FA"/>
    <w:rsid w:val="00EA4B8A"/>
    <w:rsid w:val="00EB746D"/>
    <w:rsid w:val="00EC2BCA"/>
    <w:rsid w:val="00ED0135"/>
    <w:rsid w:val="00ED0760"/>
    <w:rsid w:val="00EE22E3"/>
    <w:rsid w:val="00EE6B40"/>
    <w:rsid w:val="00EF2C2A"/>
    <w:rsid w:val="00F0488B"/>
    <w:rsid w:val="00F1145C"/>
    <w:rsid w:val="00F25F45"/>
    <w:rsid w:val="00F44ECD"/>
    <w:rsid w:val="00F51148"/>
    <w:rsid w:val="00F53164"/>
    <w:rsid w:val="00F5470C"/>
    <w:rsid w:val="00F67BDD"/>
    <w:rsid w:val="00F75FFF"/>
    <w:rsid w:val="00F77961"/>
    <w:rsid w:val="00F77D37"/>
    <w:rsid w:val="00F8097C"/>
    <w:rsid w:val="00F863D9"/>
    <w:rsid w:val="00F948C6"/>
    <w:rsid w:val="00F964E4"/>
    <w:rsid w:val="00F972B3"/>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3164"/>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berschrift1">
    <w:name w:val="heading 1"/>
    <w:basedOn w:val="Standard"/>
    <w:next w:val="Standard"/>
    <w:link w:val="berschrift1Zchn"/>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berschrift2">
    <w:name w:val="heading 2"/>
    <w:basedOn w:val="Standard"/>
    <w:next w:val="Standard"/>
    <w:link w:val="berschrift2Zchn"/>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berschrift3">
    <w:name w:val="heading 3"/>
    <w:basedOn w:val="Standard"/>
    <w:next w:val="Standard"/>
    <w:link w:val="berschrift3Zchn"/>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berschrift4">
    <w:name w:val="heading 4"/>
    <w:basedOn w:val="Standard"/>
    <w:next w:val="Standard"/>
    <w:link w:val="berschrift4Zchn"/>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elZchn">
    <w:name w:val="Titel Zchn"/>
    <w:basedOn w:val="Absatz-Standardschriftart"/>
    <w:link w:val="Titel"/>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Kopfzeile">
    <w:name w:val="header"/>
    <w:basedOn w:val="Standard"/>
    <w:link w:val="KopfzeileZchn"/>
    <w:uiPriority w:val="99"/>
    <w:unhideWhenUsed/>
    <w:rsid w:val="00592EE3"/>
    <w:pPr>
      <w:tabs>
        <w:tab w:val="center" w:pos="4536"/>
        <w:tab w:val="right" w:pos="9072"/>
      </w:tabs>
      <w:spacing w:after="0"/>
    </w:pPr>
    <w:rPr>
      <w:color w:val="000000" w:themeColor="text1"/>
    </w:rPr>
  </w:style>
  <w:style w:type="character" w:customStyle="1" w:styleId="KopfzeileZchn">
    <w:name w:val="Kopfzeile Zchn"/>
    <w:basedOn w:val="Absatz-Standardschriftart"/>
    <w:link w:val="Kopfzeile"/>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uzeile">
    <w:name w:val="footer"/>
    <w:basedOn w:val="Standard"/>
    <w:link w:val="FuzeileZchn"/>
    <w:uiPriority w:val="99"/>
    <w:unhideWhenUsed/>
    <w:rsid w:val="00135E34"/>
    <w:pPr>
      <w:tabs>
        <w:tab w:val="center" w:pos="4536"/>
        <w:tab w:val="right" w:pos="9072"/>
      </w:tabs>
      <w:spacing w:after="0"/>
    </w:pPr>
    <w:rPr>
      <w:sz w:val="20"/>
    </w:rPr>
  </w:style>
  <w:style w:type="character" w:customStyle="1" w:styleId="FuzeileZchn">
    <w:name w:val="Fußzeile Zchn"/>
    <w:basedOn w:val="Absatz-Standardschriftart"/>
    <w:link w:val="Fuzeile"/>
    <w:uiPriority w:val="99"/>
    <w:rsid w:val="00135E34"/>
    <w:rPr>
      <w:rFonts w:ascii="Flama Semicondensed Light" w:eastAsia="Times New Roman" w:hAnsi="Flama Semicondensed Light" w:cs="Times New Roman"/>
      <w:sz w:val="20"/>
      <w:szCs w:val="24"/>
      <w:lang w:eastAsia="de-DE"/>
    </w:rPr>
  </w:style>
  <w:style w:type="character" w:customStyle="1" w:styleId="berschrift1Zchn">
    <w:name w:val="Überschrift 1 Zchn"/>
    <w:basedOn w:val="Absatz-Standardschriftart"/>
    <w:link w:val="berschrift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berschrift2Zchn">
    <w:name w:val="Überschrift 2 Zchn"/>
    <w:basedOn w:val="Absatz-Standardschriftart"/>
    <w:link w:val="berschrift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berschrift3Zchn">
    <w:name w:val="Überschrift 3 Zchn"/>
    <w:basedOn w:val="Absatz-Standardschriftart"/>
    <w:link w:val="berschrift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KeinLeerraum">
    <w:name w:val="No Spacing"/>
    <w:link w:val="KeinLeerraumZchn"/>
    <w:uiPriority w:val="1"/>
    <w:qFormat/>
    <w:rsid w:val="003C16C2"/>
    <w:pPr>
      <w:spacing w:after="0" w:line="240" w:lineRule="auto"/>
    </w:pPr>
    <w:rPr>
      <w:rFonts w:ascii="Flama Semicondensed Light" w:eastAsiaTheme="minorEastAsia" w:hAnsi="Flama Semicondensed Light"/>
      <w:lang w:eastAsia="de-DE"/>
    </w:rPr>
  </w:style>
  <w:style w:type="character" w:customStyle="1" w:styleId="KeinLeerraumZchn">
    <w:name w:val="Kein Leerraum Zchn"/>
    <w:basedOn w:val="Absatz-Standardschriftart"/>
    <w:link w:val="KeinLeerraum"/>
    <w:uiPriority w:val="1"/>
    <w:rsid w:val="003C16C2"/>
    <w:rPr>
      <w:rFonts w:ascii="Flama Semicondensed Light" w:eastAsiaTheme="minorEastAsia" w:hAnsi="Flama Semicondensed Light"/>
      <w:lang w:eastAsia="de-DE"/>
    </w:rPr>
  </w:style>
  <w:style w:type="paragraph" w:styleId="Untertitel">
    <w:name w:val="Subtitle"/>
    <w:basedOn w:val="Standard"/>
    <w:next w:val="Standard"/>
    <w:link w:val="UntertitelZchn"/>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UntertitelZchn">
    <w:name w:val="Untertitel Zchn"/>
    <w:basedOn w:val="Absatz-Standardschriftart"/>
    <w:link w:val="Untertitel"/>
    <w:uiPriority w:val="11"/>
    <w:rsid w:val="0092193A"/>
    <w:rPr>
      <w:rFonts w:ascii="Flama Semicondensed Light" w:eastAsiaTheme="minorEastAsia" w:hAnsi="Flama Semicondensed Light"/>
      <w:color w:val="000000" w:themeColor="text1"/>
      <w:spacing w:val="15"/>
      <w:sz w:val="32"/>
      <w:lang w:eastAsia="de-DE"/>
    </w:rPr>
  </w:style>
  <w:style w:type="paragraph" w:styleId="Verzeichnis1">
    <w:name w:val="toc 1"/>
    <w:basedOn w:val="Standard"/>
    <w:next w:val="Standard"/>
    <w:autoRedefine/>
    <w:uiPriority w:val="39"/>
    <w:unhideWhenUsed/>
    <w:rsid w:val="00475079"/>
    <w:pPr>
      <w:spacing w:after="100"/>
    </w:pPr>
    <w:rPr>
      <w:sz w:val="20"/>
    </w:rPr>
  </w:style>
  <w:style w:type="paragraph" w:styleId="Verzeichnis3">
    <w:name w:val="toc 3"/>
    <w:basedOn w:val="Standard"/>
    <w:next w:val="Standard"/>
    <w:autoRedefine/>
    <w:uiPriority w:val="39"/>
    <w:unhideWhenUsed/>
    <w:rsid w:val="00475079"/>
    <w:pPr>
      <w:spacing w:after="100"/>
      <w:ind w:left="480"/>
    </w:pPr>
    <w:rPr>
      <w:sz w:val="20"/>
    </w:rPr>
  </w:style>
  <w:style w:type="character" w:styleId="Hyperlink">
    <w:name w:val="Hyperlink"/>
    <w:basedOn w:val="Absatz-Standardschriftart"/>
    <w:uiPriority w:val="99"/>
    <w:unhideWhenUsed/>
    <w:rsid w:val="00265B34"/>
    <w:rPr>
      <w:rFonts w:ascii="Flama Semicondensed Light" w:hAnsi="Flama Semicondensed Light"/>
      <w:color w:val="A53688" w:themeColor="hyperlink"/>
      <w:u w:val="single"/>
    </w:rPr>
  </w:style>
  <w:style w:type="paragraph" w:styleId="Inhaltsverzeichnisberschrift">
    <w:name w:val="TOC Heading"/>
    <w:basedOn w:val="berschrift1"/>
    <w:next w:val="Standard"/>
    <w:uiPriority w:val="39"/>
    <w:unhideWhenUsed/>
    <w:qFormat/>
    <w:rsid w:val="00970C26"/>
    <w:pPr>
      <w:spacing w:line="259" w:lineRule="auto"/>
      <w:outlineLvl w:val="9"/>
    </w:pPr>
    <w:rPr>
      <w:sz w:val="36"/>
    </w:rPr>
  </w:style>
  <w:style w:type="character" w:styleId="Platzhaltertext">
    <w:name w:val="Placeholder Text"/>
    <w:basedOn w:val="Absatz-Standardschriftart"/>
    <w:uiPriority w:val="99"/>
    <w:semiHidden/>
    <w:rsid w:val="00592EE3"/>
    <w:rPr>
      <w:color w:val="808080"/>
    </w:rPr>
  </w:style>
  <w:style w:type="paragraph" w:styleId="Listenabsatz">
    <w:name w:val="List Paragraph"/>
    <w:basedOn w:val="Standard"/>
    <w:uiPriority w:val="34"/>
    <w:qFormat/>
    <w:rsid w:val="00983D90"/>
    <w:pPr>
      <w:ind w:left="720"/>
    </w:pPr>
  </w:style>
  <w:style w:type="paragraph" w:styleId="Funotentext">
    <w:name w:val="footnote text"/>
    <w:basedOn w:val="Standard"/>
    <w:link w:val="FunotentextZchn"/>
    <w:uiPriority w:val="99"/>
    <w:semiHidden/>
    <w:unhideWhenUsed/>
    <w:rsid w:val="00135E34"/>
    <w:pPr>
      <w:spacing w:before="0" w:after="0"/>
    </w:pPr>
    <w:rPr>
      <w:sz w:val="20"/>
      <w:szCs w:val="20"/>
    </w:rPr>
  </w:style>
  <w:style w:type="character" w:customStyle="1" w:styleId="FunotentextZchn">
    <w:name w:val="Fußnotentext Zchn"/>
    <w:basedOn w:val="Absatz-Standardschriftart"/>
    <w:link w:val="Funotentext"/>
    <w:uiPriority w:val="99"/>
    <w:semiHidden/>
    <w:rsid w:val="00135E34"/>
    <w:rPr>
      <w:rFonts w:ascii="Flama Semicondensed Light" w:eastAsia="Times New Roman" w:hAnsi="Flama Semicondensed Light" w:cs="Times New Roman"/>
      <w:sz w:val="20"/>
      <w:szCs w:val="20"/>
      <w:lang w:eastAsia="de-DE"/>
    </w:rPr>
  </w:style>
  <w:style w:type="character" w:styleId="Funotenzeichen">
    <w:name w:val="footnote reference"/>
    <w:basedOn w:val="Absatz-Standardschriftart"/>
    <w:uiPriority w:val="99"/>
    <w:semiHidden/>
    <w:unhideWhenUsed/>
    <w:rsid w:val="00135E34"/>
    <w:rPr>
      <w:vertAlign w:val="superscript"/>
    </w:rPr>
  </w:style>
  <w:style w:type="paragraph" w:styleId="Verzeichnis2">
    <w:name w:val="toc 2"/>
    <w:basedOn w:val="Standard"/>
    <w:next w:val="Standard"/>
    <w:autoRedefine/>
    <w:uiPriority w:val="39"/>
    <w:unhideWhenUsed/>
    <w:rsid w:val="00475079"/>
    <w:pPr>
      <w:spacing w:after="100"/>
      <w:ind w:left="240"/>
    </w:pPr>
    <w:rPr>
      <w:sz w:val="20"/>
    </w:rPr>
  </w:style>
  <w:style w:type="character" w:customStyle="1" w:styleId="berschrift4Zchn">
    <w:name w:val="Überschrift 4 Zchn"/>
    <w:basedOn w:val="Absatz-Standardschriftart"/>
    <w:link w:val="berschrift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iveHervorhebung">
    <w:name w:val="Intense Emphasis"/>
    <w:basedOn w:val="Absatz-Standardschriftart"/>
    <w:uiPriority w:val="21"/>
    <w:qFormat/>
    <w:rsid w:val="00265B34"/>
    <w:rPr>
      <w:rFonts w:ascii="Flama Semicondensed Light" w:hAnsi="Flama Semicondensed Light"/>
      <w:i/>
      <w:iCs/>
      <w:color w:val="2784FC" w:themeColor="accent1"/>
    </w:rPr>
  </w:style>
  <w:style w:type="paragraph" w:styleId="IntensivesZitat">
    <w:name w:val="Intense Quote"/>
    <w:basedOn w:val="Standard"/>
    <w:next w:val="Standard"/>
    <w:link w:val="IntensivesZitatZchn"/>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ivesZitatZchn">
    <w:name w:val="Intensives Zitat Zchn"/>
    <w:basedOn w:val="Absatz-Standardschriftart"/>
    <w:link w:val="IntensivesZitat"/>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iverVerweis">
    <w:name w:val="Intense Reference"/>
    <w:basedOn w:val="Absatz-Standardschriftart"/>
    <w:uiPriority w:val="32"/>
    <w:qFormat/>
    <w:rsid w:val="00BA3FA5"/>
    <w:rPr>
      <w:b/>
      <w:bCs/>
      <w:smallCaps/>
      <w:color w:val="2784FC" w:themeColor="accent1"/>
      <w:spacing w:val="5"/>
    </w:rPr>
  </w:style>
  <w:style w:type="character" w:styleId="NichtaufgelsteErwhnung">
    <w:name w:val="Unresolved Mention"/>
    <w:basedOn w:val="Absatz-Standardschriftart"/>
    <w:uiPriority w:val="99"/>
    <w:semiHidden/>
    <w:unhideWhenUsed/>
    <w:rsid w:val="002127D7"/>
    <w:rPr>
      <w:color w:val="808080"/>
      <w:shd w:val="clear" w:color="auto" w:fill="E6E6E6"/>
    </w:rPr>
  </w:style>
  <w:style w:type="character" w:styleId="BesuchterLink">
    <w:name w:val="FollowedHyperlink"/>
    <w:basedOn w:val="Absatz-Standardschriftart"/>
    <w:uiPriority w:val="99"/>
    <w:semiHidden/>
    <w:unhideWhenUsed/>
    <w:rsid w:val="00DC4F24"/>
    <w:rPr>
      <w:color w:val="BFBFBF" w:themeColor="followedHyperlink"/>
      <w:u w:val="single"/>
    </w:rPr>
  </w:style>
  <w:style w:type="paragraph" w:styleId="Sprechblasentext">
    <w:name w:val="Balloon Text"/>
    <w:basedOn w:val="Standard"/>
    <w:link w:val="SprechblasentextZchn"/>
    <w:uiPriority w:val="99"/>
    <w:semiHidden/>
    <w:unhideWhenUsed/>
    <w:rsid w:val="00DB7CE4"/>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7CE4"/>
    <w:rPr>
      <w:rFonts w:ascii="Segoe UI" w:eastAsia="Times New Roman" w:hAnsi="Segoe UI" w:cs="Segoe UI"/>
      <w:sz w:val="18"/>
      <w:szCs w:val="18"/>
      <w:lang w:eastAsia="de-DE"/>
    </w:rPr>
  </w:style>
  <w:style w:type="paragraph" w:styleId="Verzeichnis4">
    <w:name w:val="toc 4"/>
    <w:basedOn w:val="Standard"/>
    <w:next w:val="Standard"/>
    <w:autoRedefine/>
    <w:uiPriority w:val="39"/>
    <w:semiHidden/>
    <w:unhideWhenUsed/>
    <w:rsid w:val="00475079"/>
    <w:pPr>
      <w:spacing w:after="100"/>
      <w:ind w:left="720"/>
    </w:pPr>
    <w:rPr>
      <w:sz w:val="20"/>
    </w:rPr>
  </w:style>
  <w:style w:type="paragraph" w:styleId="Verzeichnis5">
    <w:name w:val="toc 5"/>
    <w:basedOn w:val="Standard"/>
    <w:next w:val="Standard"/>
    <w:autoRedefine/>
    <w:uiPriority w:val="39"/>
    <w:semiHidden/>
    <w:unhideWhenUsed/>
    <w:rsid w:val="00475079"/>
    <w:pPr>
      <w:spacing w:after="100"/>
      <w:ind w:left="960"/>
    </w:pPr>
    <w:rPr>
      <w:sz w:val="20"/>
    </w:rPr>
  </w:style>
  <w:style w:type="paragraph" w:styleId="Verzeichnis6">
    <w:name w:val="toc 6"/>
    <w:basedOn w:val="Standard"/>
    <w:next w:val="Standard"/>
    <w:autoRedefine/>
    <w:uiPriority w:val="39"/>
    <w:semiHidden/>
    <w:unhideWhenUsed/>
    <w:rsid w:val="00475079"/>
    <w:pPr>
      <w:spacing w:after="100"/>
      <w:ind w:left="1200"/>
    </w:pPr>
    <w:rPr>
      <w:sz w:val="20"/>
    </w:rPr>
  </w:style>
  <w:style w:type="character" w:styleId="SchwacheHervorhebung">
    <w:name w:val="Subtle Emphasis"/>
    <w:basedOn w:val="Absatz-Standardschriftart"/>
    <w:uiPriority w:val="19"/>
    <w:qFormat/>
    <w:rsid w:val="00265B34"/>
    <w:rPr>
      <w:rFonts w:ascii="Flama Semicondensed Light" w:hAnsi="Flama Semicondensed Light"/>
      <w:i/>
      <w:iCs/>
      <w:color w:val="404040" w:themeColor="text1" w:themeTint="BF"/>
    </w:rPr>
  </w:style>
  <w:style w:type="character" w:styleId="Hervorhebung">
    <w:name w:val="Emphasis"/>
    <w:basedOn w:val="Absatz-Standardschriftart"/>
    <w:uiPriority w:val="20"/>
    <w:qFormat/>
    <w:rsid w:val="00265B34"/>
    <w:rPr>
      <w:rFonts w:ascii="Flama Semicondensed Light" w:hAnsi="Flama Semicondensed Light"/>
      <w:i/>
      <w:iCs/>
    </w:rPr>
  </w:style>
  <w:style w:type="character" w:styleId="Fett">
    <w:name w:val="Strong"/>
    <w:basedOn w:val="Absatz-Standardschriftart"/>
    <w:uiPriority w:val="22"/>
    <w:qFormat/>
    <w:rsid w:val="00265B34"/>
    <w:rPr>
      <w:rFonts w:ascii="Flama Semicondensed Medium" w:hAnsi="Flama Semicondensed Medium"/>
      <w:b/>
      <w:bCs/>
    </w:rPr>
  </w:style>
  <w:style w:type="character" w:styleId="SchwacherVerweis">
    <w:name w:val="Subtle Reference"/>
    <w:basedOn w:val="Absatz-Standardschriftart"/>
    <w:uiPriority w:val="31"/>
    <w:qFormat/>
    <w:rsid w:val="00265B34"/>
    <w:rPr>
      <w:rFonts w:ascii="Flama Semicondensed Light" w:hAnsi="Flama Semicondensed Light"/>
      <w:smallCaps/>
      <w:color w:val="5A5A5A" w:themeColor="text1" w:themeTint="A5"/>
    </w:rPr>
  </w:style>
  <w:style w:type="character" w:styleId="Kommentarzeichen">
    <w:name w:val="annotation reference"/>
    <w:basedOn w:val="Absatz-Standardschriftart"/>
    <w:uiPriority w:val="99"/>
    <w:semiHidden/>
    <w:unhideWhenUsed/>
    <w:rsid w:val="00113086"/>
    <w:rPr>
      <w:sz w:val="16"/>
      <w:szCs w:val="16"/>
    </w:rPr>
  </w:style>
  <w:style w:type="paragraph" w:styleId="Kommentartext">
    <w:name w:val="annotation text"/>
    <w:basedOn w:val="Standard"/>
    <w:link w:val="KommentartextZchn"/>
    <w:uiPriority w:val="99"/>
    <w:semiHidden/>
    <w:unhideWhenUsed/>
    <w:rsid w:val="00113086"/>
    <w:rPr>
      <w:sz w:val="20"/>
      <w:szCs w:val="20"/>
    </w:rPr>
  </w:style>
  <w:style w:type="character" w:customStyle="1" w:styleId="KommentartextZchn">
    <w:name w:val="Kommentartext Zchn"/>
    <w:basedOn w:val="Absatz-Standardschriftart"/>
    <w:link w:val="Kommentartext"/>
    <w:uiPriority w:val="99"/>
    <w:semiHidden/>
    <w:rsid w:val="00113086"/>
    <w:rPr>
      <w:rFonts w:ascii="Flama Semicondensed Light" w:eastAsia="Times New Roman" w:hAnsi="Flama Semicondensed Light"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13086"/>
    <w:rPr>
      <w:b/>
      <w:bCs/>
    </w:rPr>
  </w:style>
  <w:style w:type="character" w:customStyle="1" w:styleId="KommentarthemaZchn">
    <w:name w:val="Kommentarthema Zchn"/>
    <w:basedOn w:val="KommentartextZchn"/>
    <w:link w:val="Kommentarthema"/>
    <w:uiPriority w:val="99"/>
    <w:semiHidden/>
    <w:rsid w:val="00113086"/>
    <w:rPr>
      <w:rFonts w:ascii="Flama Semicondensed Light" w:eastAsia="Times New Roman" w:hAnsi="Flama Semicondensed Light" w:cs="Times New Roman"/>
      <w:b/>
      <w:bCs/>
      <w:sz w:val="20"/>
      <w:szCs w:val="20"/>
      <w:lang w:eastAsia="de-DE"/>
    </w:rPr>
  </w:style>
  <w:style w:type="table" w:styleId="Tabellenraster">
    <w:name w:val="Table Grid"/>
    <w:basedOn w:val="NormaleTabelle"/>
    <w:uiPriority w:val="39"/>
    <w:rsid w:val="0069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8381">
      <w:bodyDiv w:val="1"/>
      <w:marLeft w:val="0"/>
      <w:marRight w:val="0"/>
      <w:marTop w:val="0"/>
      <w:marBottom w:val="0"/>
      <w:divBdr>
        <w:top w:val="none" w:sz="0" w:space="0" w:color="auto"/>
        <w:left w:val="none" w:sz="0" w:space="0" w:color="auto"/>
        <w:bottom w:val="none" w:sz="0" w:space="0" w:color="auto"/>
        <w:right w:val="none" w:sz="0" w:space="0" w:color="auto"/>
      </w:divBdr>
    </w:div>
    <w:div w:id="530343265">
      <w:bodyDiv w:val="1"/>
      <w:marLeft w:val="0"/>
      <w:marRight w:val="0"/>
      <w:marTop w:val="0"/>
      <w:marBottom w:val="0"/>
      <w:divBdr>
        <w:top w:val="none" w:sz="0" w:space="0" w:color="auto"/>
        <w:left w:val="none" w:sz="0" w:space="0" w:color="auto"/>
        <w:bottom w:val="none" w:sz="0" w:space="0" w:color="auto"/>
        <w:right w:val="none" w:sz="0" w:space="0" w:color="auto"/>
      </w:divBdr>
    </w:div>
    <w:div w:id="653683286">
      <w:bodyDiv w:val="1"/>
      <w:marLeft w:val="0"/>
      <w:marRight w:val="0"/>
      <w:marTop w:val="0"/>
      <w:marBottom w:val="0"/>
      <w:divBdr>
        <w:top w:val="none" w:sz="0" w:space="0" w:color="auto"/>
        <w:left w:val="none" w:sz="0" w:space="0" w:color="auto"/>
        <w:bottom w:val="none" w:sz="0" w:space="0" w:color="auto"/>
        <w:right w:val="none" w:sz="0" w:space="0" w:color="auto"/>
      </w:divBdr>
    </w:div>
    <w:div w:id="1162743419">
      <w:bodyDiv w:val="1"/>
      <w:marLeft w:val="0"/>
      <w:marRight w:val="0"/>
      <w:marTop w:val="0"/>
      <w:marBottom w:val="0"/>
      <w:divBdr>
        <w:top w:val="none" w:sz="0" w:space="0" w:color="auto"/>
        <w:left w:val="none" w:sz="0" w:space="0" w:color="auto"/>
        <w:bottom w:val="none" w:sz="0" w:space="0" w:color="auto"/>
        <w:right w:val="none" w:sz="0" w:space="0" w:color="auto"/>
      </w:divBdr>
    </w:div>
    <w:div w:id="122814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mpliance@solactiv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rc.org/" TargetMode="External"/><Relationship Id="rId5" Type="http://schemas.openxmlformats.org/officeDocument/2006/relationships/settings" Target="settings.xml"/><Relationship Id="rId15" Type="http://schemas.openxmlformats.org/officeDocument/2006/relationships/hyperlink" Target="mailto:info@solactive.com"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tzhalt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638DF"/>
    <w:rsid w:val="00523072"/>
    <w:rsid w:val="005325BE"/>
    <w:rsid w:val="006067E6"/>
    <w:rsid w:val="00872728"/>
    <w:rsid w:val="00911CFE"/>
    <w:rsid w:val="009E61CE"/>
    <w:rsid w:val="00A64514"/>
    <w:rsid w:val="00A943D4"/>
    <w:rsid w:val="00AA199C"/>
    <w:rsid w:val="00BC747A"/>
    <w:rsid w:val="00CC46C6"/>
    <w:rsid w:val="00D06B66"/>
    <w:rsid w:val="00D63F41"/>
    <w:rsid w:val="00D76CD8"/>
    <w:rsid w:val="00E77118"/>
    <w:rsid w:val="00F70D61"/>
    <w:rsid w:val="00FC31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tzhaltertext">
    <w:name w:val="Placeholder Text"/>
    <w:basedOn w:val="Absatz-Standardschriftar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94842B-4E48-4B40-A683-EE09471B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1108</Words>
  <Characters>6983</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On THE METHODOLOGY CHANGE OF UBS LGBT EMPLOYMENT EQUALITY INDEX</vt:lpstr>
      <vt:lpstr>Market Consultation alignment of Adjustment Day with Solactive Global Benchmark Series (GBS)</vt:lpstr>
    </vt:vector>
  </TitlesOfParts>
  <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on the Methodology Change of UBS LGBT Employment Equality Index</dc:title>
  <dc:subject>Calculation Documents &amp; Methodologies</dc:subject>
  <dc:creator>Solactive AG</dc:creator>
  <cp:keywords/>
  <dc:description/>
  <cp:lastModifiedBy>Müller, Florian</cp:lastModifiedBy>
  <cp:revision>2</cp:revision>
  <cp:lastPrinted>2018-12-10T16:54:00Z</cp:lastPrinted>
  <dcterms:created xsi:type="dcterms:W3CDTF">2019-05-17T07:42:00Z</dcterms:created>
  <dcterms:modified xsi:type="dcterms:W3CDTF">2019-05-17T07:42:00Z</dcterms:modified>
  <cp:contentStatus>Version 1.1</cp:contentStatus>
</cp:coreProperties>
</file>