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5FD9D61" w:rsidR="0092193A" w:rsidRPr="0097651D" w:rsidRDefault="00113086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B42370">
                <w:rPr>
                  <w:color w:val="FFFFFF" w:themeColor="background1"/>
                  <w:lang w:val="en-US"/>
                </w:rPr>
                <w:t>Solactive U.S. Dynamic Allocation Indices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416F28D7" w:rsidR="00110CA0" w:rsidRPr="00D902A1" w:rsidRDefault="006073BB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01-31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FA75AF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31 January 2019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416F28D7" w:rsidR="00110CA0" w:rsidRPr="00D902A1" w:rsidRDefault="006073BB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1-31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FA75AF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31 January 2019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76E7BEEF" w14:textId="6884C6CB" w:rsidR="008C3106" w:rsidRDefault="002663E0" w:rsidP="00B00AC9">
      <w:pPr>
        <w:spacing w:before="0" w:after="160" w:line="259" w:lineRule="auto"/>
        <w:rPr>
          <w:lang w:val="en-GB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its</w:t>
      </w:r>
      <w:r w:rsidR="00F964E4">
        <w:rPr>
          <w:lang w:val="en-GB"/>
        </w:rPr>
        <w:t xml:space="preserve"> </w:t>
      </w:r>
      <w:r w:rsidR="001D451F">
        <w:rPr>
          <w:lang w:val="en-GB"/>
        </w:rPr>
        <w:t>Solactive U.S. Dynamic Allocation Ind</w:t>
      </w:r>
      <w:r w:rsidR="00B42370">
        <w:rPr>
          <w:lang w:val="en-GB"/>
        </w:rPr>
        <w:t>ices</w:t>
      </w:r>
      <w:r w:rsidR="00113086">
        <w:rPr>
          <w:lang w:val="en-GB"/>
        </w:rPr>
        <w:t xml:space="preserve"> </w:t>
      </w:r>
      <w:r w:rsidR="00F964E4">
        <w:rPr>
          <w:lang w:val="en-GB"/>
        </w:rPr>
        <w:t>Methodology</w:t>
      </w:r>
      <w:r w:rsidR="008C3106">
        <w:rPr>
          <w:lang w:val="en-GB"/>
        </w:rPr>
        <w:t xml:space="preserve"> in the following point</w:t>
      </w:r>
      <w:r w:rsidR="00113086">
        <w:rPr>
          <w:lang w:val="en-GB"/>
        </w:rPr>
        <w:t>[</w:t>
      </w:r>
      <w:r w:rsidR="008C3106">
        <w:rPr>
          <w:lang w:val="en-GB"/>
        </w:rPr>
        <w:t>s</w:t>
      </w:r>
      <w:r w:rsidR="00113086">
        <w:rPr>
          <w:lang w:val="en-GB"/>
        </w:rPr>
        <w:t>]</w:t>
      </w:r>
      <w:r w:rsidR="008C3106">
        <w:rPr>
          <w:lang w:val="en-GB"/>
        </w:rPr>
        <w:t>:</w:t>
      </w:r>
    </w:p>
    <w:p w14:paraId="44F777D1" w14:textId="77777777" w:rsidR="001D451F" w:rsidRPr="001D451F" w:rsidRDefault="001D451F" w:rsidP="00B00AC9">
      <w:pPr>
        <w:pStyle w:val="ListParagraph"/>
        <w:numPr>
          <w:ilvl w:val="0"/>
          <w:numId w:val="21"/>
        </w:numPr>
        <w:spacing w:before="0" w:after="160" w:line="259" w:lineRule="auto"/>
        <w:rPr>
          <w:lang w:val="en-GB"/>
        </w:rPr>
      </w:pPr>
      <w:r w:rsidRPr="001D451F">
        <w:rPr>
          <w:lang w:val="en-GB"/>
        </w:rPr>
        <w:t>Two new SPDR SELECT Sector ETFs will be added to the universe of the index:</w:t>
      </w:r>
    </w:p>
    <w:p w14:paraId="1675F1E0" w14:textId="43B30998" w:rsidR="001D451F" w:rsidRPr="001D451F" w:rsidRDefault="001D451F" w:rsidP="00B00AC9">
      <w:pPr>
        <w:pStyle w:val="ListParagraph"/>
        <w:numPr>
          <w:ilvl w:val="1"/>
          <w:numId w:val="21"/>
        </w:numPr>
        <w:spacing w:before="0" w:after="160" w:line="259" w:lineRule="auto"/>
        <w:rPr>
          <w:lang w:val="en-GB"/>
        </w:rPr>
      </w:pPr>
      <w:r w:rsidRPr="001D451F">
        <w:rPr>
          <w:lang w:val="en-GB"/>
        </w:rPr>
        <w:t>Real Estate Select Sector ETF (code XLRE)</w:t>
      </w:r>
      <w:r>
        <w:rPr>
          <w:lang w:val="en-GB"/>
        </w:rPr>
        <w:t xml:space="preserve"> with a target weight of 5%</w:t>
      </w:r>
    </w:p>
    <w:p w14:paraId="6B698CC8" w14:textId="77777777" w:rsidR="00B00AC9" w:rsidRDefault="001D451F" w:rsidP="00B00AC9">
      <w:pPr>
        <w:pStyle w:val="ListParagraph"/>
        <w:numPr>
          <w:ilvl w:val="1"/>
          <w:numId w:val="21"/>
        </w:numPr>
        <w:spacing w:before="0" w:after="160" w:line="259" w:lineRule="auto"/>
        <w:rPr>
          <w:lang w:val="en-GB"/>
        </w:rPr>
      </w:pPr>
      <w:r w:rsidRPr="001D451F">
        <w:rPr>
          <w:lang w:val="en-GB"/>
        </w:rPr>
        <w:t xml:space="preserve">Communications Select Sector ETF (code XLC) </w:t>
      </w:r>
      <w:r>
        <w:rPr>
          <w:lang w:val="en-GB"/>
        </w:rPr>
        <w:t>with a target weight of 10%</w:t>
      </w:r>
      <w:r w:rsidR="00B00AC9" w:rsidRPr="00B00AC9">
        <w:rPr>
          <w:lang w:val="en-GB"/>
        </w:rPr>
        <w:t xml:space="preserve"> </w:t>
      </w:r>
    </w:p>
    <w:p w14:paraId="0D3C3AA0" w14:textId="1F2D5DEF" w:rsidR="00B00AC9" w:rsidRDefault="00B00AC9" w:rsidP="00B00AC9">
      <w:pPr>
        <w:pStyle w:val="ListParagraph"/>
        <w:numPr>
          <w:ilvl w:val="0"/>
          <w:numId w:val="21"/>
        </w:numPr>
        <w:spacing w:before="0" w:after="160" w:line="259" w:lineRule="auto"/>
        <w:rPr>
          <w:lang w:val="en-GB"/>
        </w:rPr>
      </w:pPr>
      <w:r w:rsidRPr="001D451F">
        <w:rPr>
          <w:lang w:val="en-GB"/>
        </w:rPr>
        <w:t>The target weights for some ETF</w:t>
      </w:r>
      <w:r>
        <w:rPr>
          <w:lang w:val="en-GB"/>
        </w:rPr>
        <w:t>s</w:t>
      </w:r>
      <w:r w:rsidRPr="001D451F">
        <w:rPr>
          <w:lang w:val="en-GB"/>
        </w:rPr>
        <w:t xml:space="preserve"> will change due to the addition</w:t>
      </w:r>
      <w:r>
        <w:rPr>
          <w:lang w:val="en-GB"/>
        </w:rPr>
        <w:t xml:space="preserve"> of the two new ETFs:</w:t>
      </w:r>
    </w:p>
    <w:p w14:paraId="5AA1BE40" w14:textId="77777777" w:rsidR="00B00AC9" w:rsidRDefault="00B00AC9" w:rsidP="00B00AC9">
      <w:pPr>
        <w:pStyle w:val="ListParagraph"/>
        <w:numPr>
          <w:ilvl w:val="1"/>
          <w:numId w:val="21"/>
        </w:numPr>
        <w:spacing w:before="0" w:after="160" w:line="259" w:lineRule="auto"/>
        <w:rPr>
          <w:lang w:val="en-GB"/>
        </w:rPr>
      </w:pPr>
      <w:r>
        <w:rPr>
          <w:lang w:val="en-GB"/>
        </w:rPr>
        <w:t>XLF target weight will be changed from 15% to 10%</w:t>
      </w:r>
    </w:p>
    <w:p w14:paraId="1BCDB47D" w14:textId="3E535DEE" w:rsidR="00C04273" w:rsidRDefault="00B00AC9" w:rsidP="00B00AC9">
      <w:pPr>
        <w:pStyle w:val="ListParagraph"/>
        <w:numPr>
          <w:ilvl w:val="1"/>
          <w:numId w:val="21"/>
        </w:numPr>
        <w:spacing w:before="0" w:after="160" w:line="259" w:lineRule="auto"/>
        <w:rPr>
          <w:lang w:val="en-GB"/>
        </w:rPr>
      </w:pPr>
      <w:r>
        <w:rPr>
          <w:lang w:val="en-GB"/>
        </w:rPr>
        <w:t>XLE target weight will be change from 10% to 5%</w:t>
      </w:r>
    </w:p>
    <w:p w14:paraId="1F475060" w14:textId="1A989DBD" w:rsidR="006073BB" w:rsidRDefault="006073BB" w:rsidP="00B00AC9">
      <w:pPr>
        <w:pStyle w:val="ListParagraph"/>
        <w:numPr>
          <w:ilvl w:val="1"/>
          <w:numId w:val="21"/>
        </w:numPr>
        <w:spacing w:before="0" w:after="160" w:line="259" w:lineRule="auto"/>
        <w:rPr>
          <w:lang w:val="en-GB"/>
        </w:rPr>
      </w:pPr>
      <w:r>
        <w:rPr>
          <w:lang w:val="en-GB"/>
        </w:rPr>
        <w:t xml:space="preserve">XLP </w:t>
      </w:r>
      <w:r>
        <w:rPr>
          <w:lang w:val="en-GB"/>
        </w:rPr>
        <w:t>target weight will be change from 10% to 5%</w:t>
      </w:r>
    </w:p>
    <w:p w14:paraId="2B6C9A58" w14:textId="430A2E32" w:rsidR="00113086" w:rsidRDefault="00B00AC9" w:rsidP="009C6F7C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background to the proposed change is the introduction of additional sectors to the </w:t>
      </w:r>
      <w:r w:rsidR="00265575">
        <w:rPr>
          <w:lang w:val="en-GB"/>
        </w:rPr>
        <w:t>benchmark index of the ETFs referenced by the Solactive U.S. Dynamic Allocation Indices</w:t>
      </w:r>
      <w:r>
        <w:rPr>
          <w:lang w:val="en-GB"/>
        </w:rPr>
        <w:t xml:space="preserve"> in September 2018.</w:t>
      </w:r>
      <w:r w:rsidR="009C6F7C">
        <w:rPr>
          <w:lang w:val="en-GB"/>
        </w:rPr>
        <w:t xml:space="preserve"> The aim of the </w:t>
      </w:r>
      <w:r w:rsidR="00265575">
        <w:rPr>
          <w:lang w:val="en-GB"/>
        </w:rPr>
        <w:t>Solactive U.S. Dynamic Allocation Indices</w:t>
      </w:r>
      <w:r w:rsidR="009C6F7C">
        <w:rPr>
          <w:lang w:val="en-GB"/>
        </w:rPr>
        <w:t xml:space="preserve"> is to provide exposure to the entire universe of the </w:t>
      </w:r>
      <w:r w:rsidR="009C6F7C" w:rsidRPr="00B26AC5">
        <w:rPr>
          <w:lang w:val="en-US"/>
        </w:rPr>
        <w:t>US Select Sector SPDR ETFs</w:t>
      </w:r>
      <w:r w:rsidR="009C6F7C">
        <w:rPr>
          <w:lang w:val="en-US"/>
        </w:rPr>
        <w:t xml:space="preserve"> that represent the sectors of</w:t>
      </w:r>
      <w:r w:rsidR="00265575">
        <w:rPr>
          <w:lang w:val="en-US"/>
        </w:rPr>
        <w:t xml:space="preserve"> their benchmark index</w:t>
      </w:r>
      <w:r w:rsidR="009C6F7C">
        <w:rPr>
          <w:lang w:val="en-US"/>
        </w:rPr>
        <w:t xml:space="preserve">. </w:t>
      </w:r>
      <w:r>
        <w:rPr>
          <w:lang w:val="en-GB"/>
        </w:rPr>
        <w:t xml:space="preserve">The ETFs referenced by the index each represent one of these sectors. With the addition of new sectors </w:t>
      </w:r>
      <w:r w:rsidR="0072157C">
        <w:rPr>
          <w:lang w:val="en-GB"/>
        </w:rPr>
        <w:t>to</w:t>
      </w:r>
      <w:r w:rsidR="00265575">
        <w:rPr>
          <w:lang w:val="en-GB"/>
        </w:rPr>
        <w:t xml:space="preserve"> the ETFs’ benchmark index </w:t>
      </w:r>
      <w:r>
        <w:rPr>
          <w:lang w:val="en-GB"/>
        </w:rPr>
        <w:t xml:space="preserve">and the launch of two new </w:t>
      </w:r>
      <w:r w:rsidR="0072157C">
        <w:rPr>
          <w:lang w:val="en-GB"/>
        </w:rPr>
        <w:t xml:space="preserve">corresponding </w:t>
      </w:r>
      <w:r>
        <w:rPr>
          <w:lang w:val="en-GB"/>
        </w:rPr>
        <w:t>ETFs</w:t>
      </w:r>
      <w:r w:rsidR="009C6F7C">
        <w:rPr>
          <w:lang w:val="en-GB"/>
        </w:rPr>
        <w:t xml:space="preserve">, the </w:t>
      </w:r>
      <w:r w:rsidR="00265575">
        <w:rPr>
          <w:lang w:val="en-GB"/>
        </w:rPr>
        <w:t>Solactive U.S. Dynamic Allocation Indices</w:t>
      </w:r>
      <w:r w:rsidR="009C6F7C" w:rsidRPr="009C6F7C">
        <w:rPr>
          <w:lang w:val="en-GB"/>
        </w:rPr>
        <w:t xml:space="preserve"> no longer fully reflect </w:t>
      </w:r>
      <w:r w:rsidR="009C6F7C">
        <w:rPr>
          <w:lang w:val="en-GB"/>
        </w:rPr>
        <w:t xml:space="preserve">the entire universe of ETFs representing the </w:t>
      </w:r>
      <w:r w:rsidR="009C6F7C" w:rsidRPr="009C6F7C">
        <w:rPr>
          <w:lang w:val="en-GB"/>
        </w:rPr>
        <w:t xml:space="preserve">sectors </w:t>
      </w:r>
      <w:r w:rsidR="00265575">
        <w:rPr>
          <w:lang w:val="en-GB"/>
        </w:rPr>
        <w:t>of their benchmark index</w:t>
      </w:r>
      <w:r w:rsidR="009C6F7C" w:rsidRPr="009C6F7C">
        <w:rPr>
          <w:lang w:val="en-GB"/>
        </w:rPr>
        <w:t>.</w:t>
      </w:r>
      <w:r>
        <w:rPr>
          <w:lang w:val="en-GB"/>
        </w:rPr>
        <w:t xml:space="preserve"> </w:t>
      </w:r>
      <w:r w:rsidR="00265575">
        <w:rPr>
          <w:lang w:val="en-GB"/>
        </w:rPr>
        <w:t>I</w:t>
      </w:r>
      <w:r w:rsidR="009C6F7C" w:rsidRPr="009C6F7C">
        <w:rPr>
          <w:lang w:val="en-GB"/>
        </w:rPr>
        <w:t xml:space="preserve">n order to continue to achieve the </w:t>
      </w:r>
      <w:r w:rsidR="00265575">
        <w:rPr>
          <w:lang w:val="en-GB"/>
        </w:rPr>
        <w:t>Solactive U.S. Dynamic Allocation Indices’</w:t>
      </w:r>
      <w:r w:rsidR="009C6F7C" w:rsidRPr="009C6F7C">
        <w:rPr>
          <w:lang w:val="en-GB"/>
        </w:rPr>
        <w:t xml:space="preserve"> objective, the two newly issued ETFs </w:t>
      </w:r>
      <w:r w:rsidR="0072157C">
        <w:rPr>
          <w:lang w:val="en-GB"/>
        </w:rPr>
        <w:t xml:space="preserve">have to </w:t>
      </w:r>
      <w:r w:rsidR="009C6F7C" w:rsidRPr="009C6F7C">
        <w:rPr>
          <w:lang w:val="en-GB"/>
        </w:rPr>
        <w:t xml:space="preserve">be included in as </w:t>
      </w:r>
      <w:r w:rsidR="009C6F7C">
        <w:rPr>
          <w:lang w:val="en-GB"/>
        </w:rPr>
        <w:t>index constituents</w:t>
      </w:r>
      <w:r w:rsidR="009C6F7C" w:rsidRPr="009C6F7C">
        <w:rPr>
          <w:lang w:val="en-GB"/>
        </w:rPr>
        <w:t xml:space="preserve">. The resulting adjustment of the weightings of the individual ETFs is </w:t>
      </w:r>
      <w:r w:rsidR="001D451F">
        <w:rPr>
          <w:lang w:val="en-GB"/>
        </w:rPr>
        <w:t xml:space="preserve">based on the weights of the sectors </w:t>
      </w:r>
      <w:r w:rsidR="009C6F7C">
        <w:rPr>
          <w:lang w:val="en-GB"/>
        </w:rPr>
        <w:t xml:space="preserve">of the </w:t>
      </w:r>
      <w:r w:rsidR="00265575">
        <w:rPr>
          <w:lang w:val="en-GB"/>
        </w:rPr>
        <w:t xml:space="preserve">benchmark index of the ETFs referenced by the Solactive U.S. Dynamic Allocation Indices </w:t>
      </w:r>
      <w:r w:rsidR="001D451F">
        <w:rPr>
          <w:lang w:val="en-GB"/>
        </w:rPr>
        <w:t>at the time of th</w:t>
      </w:r>
      <w:r w:rsidR="009C6F7C">
        <w:rPr>
          <w:lang w:val="en-GB"/>
        </w:rPr>
        <w:t>eir introduction.</w:t>
      </w:r>
      <w:r w:rsidR="001D451F">
        <w:rPr>
          <w:lang w:val="en-GB"/>
        </w:rPr>
        <w:t xml:space="preserve"> </w:t>
      </w:r>
    </w:p>
    <w:p w14:paraId="7B148FFF" w14:textId="1637775B" w:rsidR="0005060C" w:rsidRPr="00265575" w:rsidRDefault="0005060C" w:rsidP="00265575">
      <w:pPr>
        <w:spacing w:before="0" w:after="160" w:line="259" w:lineRule="auto"/>
        <w:rPr>
          <w:lang w:val="en-GB"/>
        </w:rPr>
      </w:pPr>
      <w:r w:rsidRPr="00265575">
        <w:rPr>
          <w:lang w:val="en-GB"/>
        </w:rPr>
        <w:t>The above changes are currently planned to be implemented with the February 2019 rebalancing and would therefore become effective on the first index business day in March 2019.</w:t>
      </w:r>
    </w:p>
    <w:p w14:paraId="46A9FFC5" w14:textId="77777777" w:rsidR="0005060C" w:rsidRPr="001D451F" w:rsidRDefault="0005060C" w:rsidP="001D451F">
      <w:pPr>
        <w:pStyle w:val="ListParagraph"/>
        <w:spacing w:before="0" w:after="160" w:line="259" w:lineRule="auto"/>
        <w:rPr>
          <w:lang w:val="en-GB"/>
        </w:rPr>
      </w:pPr>
    </w:p>
    <w:p w14:paraId="45154AF2" w14:textId="5E2E42FB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lastRenderedPageBreak/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765E7C97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1D451F">
        <w:rPr>
          <w:lang w:val="en-US"/>
        </w:rPr>
        <w:t>Solactive U.S. Dynamic Allocation Indices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6073BB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1728F7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4214F251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</w:t>
      </w:r>
      <w:r w:rsidR="00FA75AF">
        <w:rPr>
          <w:lang w:val="en-US"/>
        </w:rPr>
        <w:t>l 1</w:t>
      </w:r>
      <w:r w:rsidR="006073BB">
        <w:rPr>
          <w:lang w:val="en-US"/>
        </w:rPr>
        <w:t>5</w:t>
      </w:r>
      <w:bookmarkStart w:id="1" w:name="_GoBack"/>
      <w:bookmarkEnd w:id="1"/>
      <w:r w:rsidR="00FA75AF" w:rsidRPr="00FA75AF">
        <w:rPr>
          <w:vertAlign w:val="superscript"/>
          <w:lang w:val="en-US"/>
        </w:rPr>
        <w:t>th</w:t>
      </w:r>
      <w:r w:rsidR="00FA75AF">
        <w:rPr>
          <w:lang w:val="en-US"/>
        </w:rPr>
        <w:t xml:space="preserve"> February 2019.</w:t>
      </w:r>
    </w:p>
    <w:p w14:paraId="04131284" w14:textId="0947C5A8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05060C">
        <w:rPr>
          <w:lang w:val="en-US"/>
        </w:rPr>
        <w:t>Solactive U.S. Dynamic Allocation Indices”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7B07FA4E" w14:textId="77777777" w:rsidR="005055F5" w:rsidRPr="00C04273" w:rsidRDefault="005055F5" w:rsidP="005055F5">
      <w:pPr>
        <w:spacing w:after="0"/>
        <w:ind w:left="1416" w:firstLine="708"/>
      </w:pPr>
      <w:r w:rsidRPr="00C04273">
        <w:t>Guiollettstr. 54</w:t>
      </w:r>
    </w:p>
    <w:p w14:paraId="7C1A81A3" w14:textId="77777777" w:rsidR="005055F5" w:rsidRPr="00C04273" w:rsidRDefault="005055F5" w:rsidP="005055F5">
      <w:pPr>
        <w:spacing w:after="0"/>
        <w:ind w:left="1416" w:firstLine="708"/>
      </w:pPr>
      <w:r w:rsidRPr="00C04273">
        <w:t>60325 Frankfurt</w:t>
      </w:r>
    </w:p>
    <w:p w14:paraId="1FEC3B6F" w14:textId="77777777" w:rsidR="005055F5" w:rsidRPr="00C04273" w:rsidRDefault="005055F5" w:rsidP="005055F5">
      <w:pPr>
        <w:spacing w:after="0"/>
        <w:ind w:left="1416" w:firstLine="708"/>
      </w:pPr>
      <w:r w:rsidRPr="00C04273"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6073BB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1728F7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lastRenderedPageBreak/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1728F7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77777777" w:rsidR="00110CA0" w:rsidRPr="00186DB0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proofErr w:type="spellStart"/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Guiollettstr</w:t>
                            </w:r>
                            <w:proofErr w:type="spellEnd"/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. 54</w:t>
                            </w:r>
                          </w:p>
                          <w:p w14:paraId="5333E40C" w14:textId="77777777" w:rsidR="00110CA0" w:rsidRPr="00186DB0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60325 Frankfurt am Main</w:t>
                            </w:r>
                          </w:p>
                          <w:p w14:paraId="08C07602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110CA0" w:rsidRPr="00186DB0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110CA0" w:rsidRPr="00186DB0" w:rsidRDefault="00110CA0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77777777" w:rsidR="00110CA0" w:rsidRPr="00186DB0" w:rsidRDefault="00110CA0" w:rsidP="00EE22E3">
                      <w:pPr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proofErr w:type="spellStart"/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Guiollettstr</w:t>
                      </w:r>
                      <w:proofErr w:type="spellEnd"/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. 54</w:t>
                      </w:r>
                    </w:p>
                    <w:p w14:paraId="5333E40C" w14:textId="77777777" w:rsidR="00110CA0" w:rsidRPr="00186DB0" w:rsidRDefault="00110CA0" w:rsidP="00EE22E3">
                      <w:pPr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60325 Frankfurt am Main</w:t>
                      </w:r>
                    </w:p>
                    <w:p w14:paraId="08C07602" w14:textId="77777777" w:rsidR="00110CA0" w:rsidRPr="00186DB0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110CA0" w:rsidRPr="00186DB0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110CA0" w:rsidRPr="00186DB0" w:rsidRDefault="00110CA0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default" r:id="rId16"/>
      <w:footerReference w:type="default" r:id="rId17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3801699-A352-4AD6-A4E4-7D319A879DCA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D56863EC-D544-4598-A3C4-E44667A8DFD5}"/>
    <w:embedBold r:id="rId3" w:fontKey="{7BE97E50-8624-40D8-98F6-5799AC249A07}"/>
    <w:embedItalic r:id="rId4" w:fontKey="{7785B882-17D9-4F9A-984C-FA91F65245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04BD6B3-A051-4366-A4D5-9014414CBC08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DD1B9705-16CC-40BE-9F44-3FCFCAB310B3}"/>
    <w:embedBold r:id="rId7" w:fontKey="{8EE1E700-39AE-422F-AC0D-9F990520632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AB900042-5564-49B9-B287-C9CF82FB6A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5D9C" w14:textId="35E10DEB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42370">
          <w:rPr>
            <w:lang w:val="en-US"/>
          </w:rPr>
          <w:t>Market Consultation Solactive U.S. Dynamic Allocation Indices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19"/>
  </w:num>
  <w:num w:numId="5">
    <w:abstractNumId w:val="14"/>
  </w:num>
  <w:num w:numId="6">
    <w:abstractNumId w:val="7"/>
  </w:num>
  <w:num w:numId="7">
    <w:abstractNumId w:val="18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1"/>
  </w:num>
  <w:num w:numId="13">
    <w:abstractNumId w:val="13"/>
  </w:num>
  <w:num w:numId="14">
    <w:abstractNumId w:val="9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16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60C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13086"/>
    <w:rsid w:val="00123CB9"/>
    <w:rsid w:val="00124B71"/>
    <w:rsid w:val="00133435"/>
    <w:rsid w:val="00135E34"/>
    <w:rsid w:val="00185395"/>
    <w:rsid w:val="001913FD"/>
    <w:rsid w:val="00192032"/>
    <w:rsid w:val="0019287D"/>
    <w:rsid w:val="00196409"/>
    <w:rsid w:val="00196791"/>
    <w:rsid w:val="001C7018"/>
    <w:rsid w:val="001D0ECC"/>
    <w:rsid w:val="001D451F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6500B"/>
    <w:rsid w:val="00265575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012BC"/>
    <w:rsid w:val="00316A3E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F21"/>
    <w:rsid w:val="003E3204"/>
    <w:rsid w:val="0040784E"/>
    <w:rsid w:val="00420C1C"/>
    <w:rsid w:val="0043684B"/>
    <w:rsid w:val="00447C88"/>
    <w:rsid w:val="00447DC5"/>
    <w:rsid w:val="004538B8"/>
    <w:rsid w:val="00456B65"/>
    <w:rsid w:val="00461F41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073BB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2157C"/>
    <w:rsid w:val="007357DE"/>
    <w:rsid w:val="00736C70"/>
    <w:rsid w:val="007372FA"/>
    <w:rsid w:val="00746268"/>
    <w:rsid w:val="00750A5D"/>
    <w:rsid w:val="00753112"/>
    <w:rsid w:val="00770E36"/>
    <w:rsid w:val="007822BB"/>
    <w:rsid w:val="0078490A"/>
    <w:rsid w:val="007913A0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23F62"/>
    <w:rsid w:val="008345B7"/>
    <w:rsid w:val="00851638"/>
    <w:rsid w:val="00852511"/>
    <w:rsid w:val="00875EDB"/>
    <w:rsid w:val="00880689"/>
    <w:rsid w:val="0089032B"/>
    <w:rsid w:val="00895A4B"/>
    <w:rsid w:val="008A06B6"/>
    <w:rsid w:val="008A6AA1"/>
    <w:rsid w:val="008B3505"/>
    <w:rsid w:val="008C3106"/>
    <w:rsid w:val="008C5730"/>
    <w:rsid w:val="008D19A9"/>
    <w:rsid w:val="008D32E3"/>
    <w:rsid w:val="008D7A68"/>
    <w:rsid w:val="008E0EE0"/>
    <w:rsid w:val="008E4BEE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C6F7C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94468"/>
    <w:rsid w:val="00AC0BF4"/>
    <w:rsid w:val="00AD1AED"/>
    <w:rsid w:val="00AF46AF"/>
    <w:rsid w:val="00B00AC9"/>
    <w:rsid w:val="00B04ABF"/>
    <w:rsid w:val="00B1629F"/>
    <w:rsid w:val="00B210BC"/>
    <w:rsid w:val="00B26AC5"/>
    <w:rsid w:val="00B302B4"/>
    <w:rsid w:val="00B42370"/>
    <w:rsid w:val="00B4681A"/>
    <w:rsid w:val="00B61371"/>
    <w:rsid w:val="00B915B6"/>
    <w:rsid w:val="00BA23D9"/>
    <w:rsid w:val="00BA3FA5"/>
    <w:rsid w:val="00BB1CFA"/>
    <w:rsid w:val="00BB7BCB"/>
    <w:rsid w:val="00BD4042"/>
    <w:rsid w:val="00C0189C"/>
    <w:rsid w:val="00C03D31"/>
    <w:rsid w:val="00C04273"/>
    <w:rsid w:val="00C22CA0"/>
    <w:rsid w:val="00C24716"/>
    <w:rsid w:val="00C30238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76406"/>
    <w:rsid w:val="00D90EC5"/>
    <w:rsid w:val="00D916A7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7BDD"/>
    <w:rsid w:val="00F75FFF"/>
    <w:rsid w:val="00F77D37"/>
    <w:rsid w:val="00F8097C"/>
    <w:rsid w:val="00F863D9"/>
    <w:rsid w:val="00F948C6"/>
    <w:rsid w:val="00F964E4"/>
    <w:rsid w:val="00F97AFE"/>
    <w:rsid w:val="00FA75AF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,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10" Type="http://schemas.openxmlformats.org/officeDocument/2006/relationships/image" Target="media/image6.sv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2019-01-31T00:00:00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B22AF3-9D4C-4D31-BBB2-A477210CF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481</Words>
  <Characters>2743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Market Consultation Solactive U.S. Dynamic Allocation Indices</vt:lpstr>
      <vt:lpstr>Market Consultation Solactive U.S. Dynamic Allocation Indices</vt:lpstr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U.S. Dynamic Allocation Indices</dc:title>
  <dc:subject>Calculation Documents &amp; Methodologies</dc:subject>
  <dc:creator>Solactive AG</dc:creator>
  <cp:keywords/>
  <dc:description/>
  <cp:lastModifiedBy>Schröder, Florian</cp:lastModifiedBy>
  <cp:revision>3</cp:revision>
  <cp:lastPrinted>2018-12-10T16:54:00Z</cp:lastPrinted>
  <dcterms:created xsi:type="dcterms:W3CDTF">2019-01-31T10:37:00Z</dcterms:created>
  <dcterms:modified xsi:type="dcterms:W3CDTF">2019-02-01T15:58:00Z</dcterms:modified>
  <cp:contentStatus>Version 1.1</cp:contentStatus>
</cp:coreProperties>
</file>